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229B9" w:rsidRDefault="00847AAA" w:rsidP="00F86F08">
      <w:pPr>
        <w:spacing w:before="100" w:beforeAutospacing="1" w:after="100" w:afterAutospacing="1"/>
        <w:ind w:firstLine="0"/>
        <w:rPr>
          <w:b/>
        </w:rPr>
      </w:pPr>
      <w:r>
        <w:rPr>
          <w:b/>
          <w:noProof/>
        </w:rPr>
        <mc:AlternateContent>
          <mc:Choice Requires="wps">
            <w:drawing>
              <wp:anchor distT="0" distB="0" distL="114300" distR="114300" simplePos="0" relativeHeight="251657215" behindDoc="1" locked="0" layoutInCell="1" allowOverlap="1" wp14:anchorId="070F2C81" wp14:editId="6C2AF247">
                <wp:simplePos x="0" y="0"/>
                <wp:positionH relativeFrom="column">
                  <wp:posOffset>-701040</wp:posOffset>
                </wp:positionH>
                <wp:positionV relativeFrom="paragraph">
                  <wp:posOffset>-475615</wp:posOffset>
                </wp:positionV>
                <wp:extent cx="638175" cy="10648950"/>
                <wp:effectExtent l="0" t="0" r="9525" b="0"/>
                <wp:wrapNone/>
                <wp:docPr id="24" name="Rectangle 24"/>
                <wp:cNvGraphicFramePr/>
                <a:graphic xmlns:a="http://schemas.openxmlformats.org/drawingml/2006/main">
                  <a:graphicData uri="http://schemas.microsoft.com/office/word/2010/wordprocessingShape">
                    <wps:wsp>
                      <wps:cNvSpPr/>
                      <wps:spPr>
                        <a:xfrm>
                          <a:off x="0" y="0"/>
                          <a:ext cx="638175" cy="1064895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55.2pt;margin-top:-37.45pt;width:50.25pt;height:838.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" fillcolor="#152639 [964]" stroked="f" strokeweight="2pt">
                <v:fill color2="#4f81bd [3204]" rotate="t" angle="45" colors="0 #254872;.5 #3a6ba5;1 #4780c5" focus="100%" type="gradient"/>
              </v:rect>
            </w:pict>
          </mc:Fallback>
        </mc:AlternateContent>
      </w:r>
    </w:p>
    <w:p w:rsidR="002229B9" w:rsidRDefault="002229B9" w:rsidP="00F86F08">
      <w:pPr>
        <w:spacing w:before="100" w:beforeAutospacing="1" w:after="100" w:afterAutospacing="1"/>
        <w:ind w:firstLine="0"/>
        <w:rPr>
          <w:b/>
        </w:rPr>
      </w:pPr>
    </w:p>
    <w:p w:rsidR="002229B9" w:rsidRDefault="002229B9" w:rsidP="00F86F08">
      <w:pPr>
        <w:ind w:firstLine="0"/>
        <w:jc w:val="right"/>
        <w:rPr>
          <w:b/>
          <w:sz w:val="24"/>
          <w:szCs w:val="24"/>
        </w:rPr>
      </w:pPr>
    </w:p>
    <w:p w:rsidR="002229B9" w:rsidRDefault="002229B9" w:rsidP="00F86F08">
      <w:pPr>
        <w:ind w:firstLine="0"/>
        <w:jc w:val="right"/>
        <w:rPr>
          <w:b/>
          <w:sz w:val="24"/>
          <w:szCs w:val="24"/>
        </w:rPr>
      </w:pPr>
    </w:p>
    <w:p w:rsidR="002229B9" w:rsidRDefault="002229B9" w:rsidP="00F86F08">
      <w:pPr>
        <w:ind w:firstLine="0"/>
        <w:jc w:val="right"/>
        <w:rPr>
          <w:b/>
          <w:sz w:val="24"/>
          <w:szCs w:val="24"/>
        </w:rPr>
      </w:pPr>
    </w:p>
    <w:p w:rsidR="002229B9" w:rsidRDefault="002229B9" w:rsidP="00F86F08">
      <w:pPr>
        <w:ind w:firstLine="0"/>
        <w:jc w:val="right"/>
        <w:rPr>
          <w:b/>
          <w:sz w:val="24"/>
          <w:szCs w:val="24"/>
        </w:rPr>
      </w:pPr>
    </w:p>
    <w:p w:rsidR="002229B9" w:rsidRDefault="002229B9" w:rsidP="00F86F08">
      <w:pPr>
        <w:ind w:firstLine="0"/>
        <w:jc w:val="right"/>
        <w:rPr>
          <w:b/>
          <w:sz w:val="24"/>
          <w:szCs w:val="24"/>
        </w:rPr>
      </w:pPr>
    </w:p>
    <w:p w:rsidR="002229B9" w:rsidRDefault="002229B9" w:rsidP="00F86F08">
      <w:pPr>
        <w:ind w:firstLine="0"/>
        <w:jc w:val="right"/>
        <w:rPr>
          <w:b/>
          <w:sz w:val="24"/>
          <w:szCs w:val="24"/>
        </w:rPr>
      </w:pPr>
    </w:p>
    <w:p w:rsidR="002229B9" w:rsidRDefault="002229B9" w:rsidP="00F86F08">
      <w:pPr>
        <w:ind w:firstLine="0"/>
        <w:jc w:val="right"/>
        <w:rPr>
          <w:b/>
          <w:sz w:val="24"/>
          <w:szCs w:val="24"/>
        </w:rPr>
      </w:pPr>
    </w:p>
    <w:p w:rsidR="002229B9" w:rsidRPr="00855960" w:rsidRDefault="009B01D3" w:rsidP="002144BE">
      <w:pPr>
        <w:ind w:firstLine="0"/>
        <w:rPr>
          <w:b/>
          <w:sz w:val="28"/>
          <w:szCs w:val="28"/>
          <w:u w:val="single"/>
        </w:rPr>
      </w:pPr>
      <w:r>
        <w:rPr>
          <w:b/>
          <w:sz w:val="28"/>
          <w:szCs w:val="28"/>
          <w:u w:val="single"/>
        </w:rPr>
        <w:t>2013/</w:t>
      </w:r>
      <w:r w:rsidR="002229B9" w:rsidRPr="00855960">
        <w:rPr>
          <w:b/>
          <w:sz w:val="28"/>
          <w:szCs w:val="28"/>
          <w:u w:val="single"/>
        </w:rPr>
        <w:t xml:space="preserve">14 Equality &amp; Diversity Information Report </w:t>
      </w:r>
    </w:p>
    <w:p w:rsidR="002229B9" w:rsidRPr="002144BE" w:rsidRDefault="002229B9" w:rsidP="002144BE">
      <w:pPr>
        <w:ind w:firstLine="0"/>
        <w:rPr>
          <w:sz w:val="28"/>
          <w:szCs w:val="28"/>
        </w:rPr>
      </w:pPr>
      <w:r w:rsidRPr="002144BE">
        <w:rPr>
          <w:sz w:val="28"/>
          <w:szCs w:val="28"/>
        </w:rPr>
        <w:t>University of Cambridge</w:t>
      </w:r>
    </w:p>
    <w:p w:rsidR="002229B9" w:rsidRPr="002144BE" w:rsidRDefault="002229B9" w:rsidP="002144BE">
      <w:pPr>
        <w:ind w:firstLine="0"/>
        <w:rPr>
          <w:sz w:val="28"/>
          <w:szCs w:val="28"/>
        </w:rPr>
      </w:pPr>
      <w:r w:rsidRPr="002144BE">
        <w:rPr>
          <w:sz w:val="28"/>
          <w:szCs w:val="28"/>
        </w:rPr>
        <w:t>Equality@admin.cam.ac.uk</w:t>
      </w:r>
    </w:p>
    <w:p w:rsidR="002229B9" w:rsidRPr="002144BE" w:rsidRDefault="002229B9" w:rsidP="002144BE">
      <w:pPr>
        <w:ind w:firstLine="0"/>
        <w:rPr>
          <w:sz w:val="28"/>
          <w:szCs w:val="28"/>
        </w:rPr>
      </w:pPr>
      <w:r w:rsidRPr="002144BE">
        <w:rPr>
          <w:sz w:val="28"/>
          <w:szCs w:val="28"/>
        </w:rPr>
        <w:t>Published 31 January 2015</w:t>
      </w:r>
    </w:p>
    <w:p w:rsidR="002229B9" w:rsidRDefault="002229B9" w:rsidP="00F86F08">
      <w:pPr>
        <w:ind w:firstLine="0"/>
        <w:jc w:val="right"/>
        <w:rPr>
          <w:b/>
          <w:sz w:val="24"/>
          <w:szCs w:val="24"/>
        </w:rPr>
      </w:pPr>
    </w:p>
    <w:p w:rsidR="00B95E46" w:rsidRPr="00461B10" w:rsidRDefault="002229B9" w:rsidP="00F86F08">
      <w:pPr>
        <w:ind w:firstLine="0"/>
        <w:jc w:val="right"/>
        <w:rPr>
          <w:rFonts w:cs="Arial"/>
          <w:b/>
          <w:sz w:val="28"/>
          <w:szCs w:val="28"/>
        </w:rPr>
      </w:pPr>
      <w:r>
        <w:rPr>
          <w:rFonts w:cs="Arial"/>
          <w:noProof/>
        </w:rPr>
        <w:drawing>
          <wp:anchor distT="0" distB="0" distL="114300" distR="114300" simplePos="0" relativeHeight="251659264" behindDoc="0" locked="0" layoutInCell="1" allowOverlap="1" wp14:anchorId="469D8E72" wp14:editId="256E809C">
            <wp:simplePos x="5410200" y="2581275"/>
            <wp:positionH relativeFrom="margin">
              <wp:align>right</wp:align>
            </wp:positionH>
            <wp:positionV relativeFrom="margin">
              <wp:align>bottom</wp:align>
            </wp:positionV>
            <wp:extent cx="1571625" cy="6762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1625" cy="676275"/>
                    </a:xfrm>
                    <a:prstGeom prst="rect">
                      <a:avLst/>
                    </a:prstGeom>
                    <a:noFill/>
                    <a:ln>
                      <a:noFill/>
                    </a:ln>
                  </pic:spPr>
                </pic:pic>
              </a:graphicData>
            </a:graphic>
          </wp:anchor>
        </w:drawing>
      </w:r>
      <w:r>
        <w:rPr>
          <w:rFonts w:cs="Arial"/>
          <w:noProof/>
        </w:rPr>
        <w:drawing>
          <wp:anchor distT="0" distB="0" distL="114300" distR="114300" simplePos="0" relativeHeight="251658240" behindDoc="0" locked="0" layoutInCell="1" allowOverlap="1" wp14:anchorId="1B48A84E" wp14:editId="4D6D84B0">
            <wp:simplePos x="4371975" y="2581275"/>
            <wp:positionH relativeFrom="margin">
              <wp:align>left</wp:align>
            </wp:positionH>
            <wp:positionV relativeFrom="margin">
              <wp:align>bottom</wp:align>
            </wp:positionV>
            <wp:extent cx="2609850" cy="514350"/>
            <wp:effectExtent l="0" t="0" r="0"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850" cy="514350"/>
                    </a:xfrm>
                    <a:prstGeom prst="rect">
                      <a:avLst/>
                    </a:prstGeom>
                    <a:noFill/>
                    <a:ln>
                      <a:noFill/>
                    </a:ln>
                  </pic:spPr>
                </pic:pic>
              </a:graphicData>
            </a:graphic>
          </wp:anchor>
        </w:drawing>
      </w:r>
      <w:r w:rsidR="00B95E46" w:rsidRPr="00461B10">
        <w:rPr>
          <w:b/>
        </w:rPr>
        <w:br w:type="page"/>
      </w:r>
    </w:p>
    <w:p w:rsidR="00F951AA" w:rsidRDefault="00F951AA">
      <w:pPr>
        <w:rPr>
          <w:rFonts w:cs="Arial"/>
          <w:sz w:val="24"/>
          <w:szCs w:val="24"/>
        </w:rPr>
      </w:pPr>
    </w:p>
    <w:p w:rsidR="00F951AA" w:rsidRDefault="00F951AA">
      <w:pPr>
        <w:rPr>
          <w:rFonts w:cs="Arial"/>
          <w:sz w:val="24"/>
          <w:szCs w:val="24"/>
        </w:rPr>
      </w:pPr>
    </w:p>
    <w:sdt>
      <w:sdtPr>
        <w:rPr>
          <w:rFonts w:asciiTheme="minorHAnsi" w:eastAsiaTheme="minorEastAsia" w:hAnsiTheme="minorHAnsi" w:cstheme="minorBidi"/>
          <w:b w:val="0"/>
          <w:bCs w:val="0"/>
          <w:color w:val="auto"/>
          <w:sz w:val="22"/>
          <w:szCs w:val="22"/>
          <w:lang w:bidi="ar-SA"/>
        </w:rPr>
        <w:id w:val="713394206"/>
        <w:docPartObj>
          <w:docPartGallery w:val="Table of Contents"/>
          <w:docPartUnique/>
        </w:docPartObj>
      </w:sdtPr>
      <w:sdtEndPr>
        <w:rPr>
          <w:noProof/>
        </w:rPr>
      </w:sdtEndPr>
      <w:sdtContent>
        <w:p w:rsidR="00F951AA" w:rsidRPr="00512E3A" w:rsidRDefault="00F951AA">
          <w:pPr>
            <w:pStyle w:val="TOCHeading"/>
            <w:rPr>
              <w:rFonts w:asciiTheme="minorHAnsi" w:hAnsiTheme="minorHAnsi"/>
            </w:rPr>
          </w:pPr>
          <w:r w:rsidRPr="00512E3A">
            <w:rPr>
              <w:rFonts w:asciiTheme="minorHAnsi" w:hAnsiTheme="minorHAnsi"/>
            </w:rPr>
            <w:t>Table of Contents</w:t>
          </w:r>
        </w:p>
        <w:p w:rsidR="00A01AB9" w:rsidRPr="00512E3A" w:rsidRDefault="00F951AA">
          <w:pPr>
            <w:pStyle w:val="TOC1"/>
            <w:rPr>
              <w:rFonts w:asciiTheme="minorHAnsi" w:hAnsiTheme="minorHAnsi" w:cstheme="minorBidi"/>
            </w:rPr>
          </w:pPr>
          <w:r w:rsidRPr="00512E3A">
            <w:rPr>
              <w:rFonts w:asciiTheme="minorHAnsi" w:hAnsiTheme="minorHAnsi"/>
            </w:rPr>
            <w:fldChar w:fldCharType="begin"/>
          </w:r>
          <w:r w:rsidRPr="00512E3A">
            <w:rPr>
              <w:rFonts w:asciiTheme="minorHAnsi" w:hAnsiTheme="minorHAnsi"/>
            </w:rPr>
            <w:instrText xml:space="preserve"> TOC \o "1-3" \h \z \u </w:instrText>
          </w:r>
          <w:r w:rsidRPr="00512E3A">
            <w:rPr>
              <w:rFonts w:asciiTheme="minorHAnsi" w:hAnsiTheme="minorHAnsi"/>
            </w:rPr>
            <w:fldChar w:fldCharType="separate"/>
          </w:r>
          <w:hyperlink w:anchor="_Toc401575355" w:history="1">
            <w:r w:rsidR="00A01AB9" w:rsidRPr="00512E3A">
              <w:rPr>
                <w:rStyle w:val="Hyperlink"/>
                <w:rFonts w:asciiTheme="minorHAnsi" w:hAnsiTheme="minorHAnsi"/>
              </w:rPr>
              <w:t>1.0 Foreword</w:t>
            </w:r>
            <w:r w:rsidR="00A01AB9" w:rsidRPr="00512E3A">
              <w:rPr>
                <w:rFonts w:asciiTheme="minorHAnsi" w:hAnsiTheme="minorHAnsi"/>
                <w:webHidden/>
              </w:rPr>
              <w:tab/>
            </w:r>
            <w:r w:rsidR="00A01AB9" w:rsidRPr="00512E3A">
              <w:rPr>
                <w:rFonts w:asciiTheme="minorHAnsi" w:hAnsiTheme="minorHAnsi"/>
                <w:webHidden/>
              </w:rPr>
              <w:fldChar w:fldCharType="begin"/>
            </w:r>
            <w:r w:rsidR="00A01AB9" w:rsidRPr="00512E3A">
              <w:rPr>
                <w:rFonts w:asciiTheme="minorHAnsi" w:hAnsiTheme="minorHAnsi"/>
                <w:webHidden/>
              </w:rPr>
              <w:instrText xml:space="preserve"> PAGEREF _Toc401575355 \h </w:instrText>
            </w:r>
            <w:r w:rsidR="00A01AB9" w:rsidRPr="00512E3A">
              <w:rPr>
                <w:rFonts w:asciiTheme="minorHAnsi" w:hAnsiTheme="minorHAnsi"/>
                <w:webHidden/>
              </w:rPr>
            </w:r>
            <w:r w:rsidR="00A01AB9" w:rsidRPr="00512E3A">
              <w:rPr>
                <w:rFonts w:asciiTheme="minorHAnsi" w:hAnsiTheme="minorHAnsi"/>
                <w:webHidden/>
              </w:rPr>
              <w:fldChar w:fldCharType="separate"/>
            </w:r>
            <w:r w:rsidR="00784F84" w:rsidRPr="00512E3A">
              <w:rPr>
                <w:rFonts w:asciiTheme="minorHAnsi" w:hAnsiTheme="minorHAnsi"/>
                <w:webHidden/>
              </w:rPr>
              <w:t>4</w:t>
            </w:r>
            <w:r w:rsidR="00A01AB9" w:rsidRPr="00512E3A">
              <w:rPr>
                <w:rFonts w:asciiTheme="minorHAnsi" w:hAnsiTheme="minorHAnsi"/>
                <w:webHidden/>
              </w:rPr>
              <w:fldChar w:fldCharType="end"/>
            </w:r>
          </w:hyperlink>
        </w:p>
        <w:p w:rsidR="00A01AB9" w:rsidRPr="00512E3A" w:rsidRDefault="00B9633D">
          <w:pPr>
            <w:pStyle w:val="TOC1"/>
            <w:rPr>
              <w:rFonts w:asciiTheme="minorHAnsi" w:hAnsiTheme="minorHAnsi" w:cstheme="minorBidi"/>
            </w:rPr>
          </w:pPr>
          <w:hyperlink w:anchor="_Toc401575356" w:history="1">
            <w:r w:rsidR="00A01AB9" w:rsidRPr="00512E3A">
              <w:rPr>
                <w:rStyle w:val="Hyperlink"/>
                <w:rFonts w:asciiTheme="minorHAnsi" w:hAnsiTheme="minorHAnsi"/>
              </w:rPr>
              <w:t>2.0 Introduction</w:t>
            </w:r>
            <w:r w:rsidR="00A01AB9" w:rsidRPr="00512E3A">
              <w:rPr>
                <w:rFonts w:asciiTheme="minorHAnsi" w:hAnsiTheme="minorHAnsi"/>
                <w:webHidden/>
              </w:rPr>
              <w:tab/>
            </w:r>
            <w:r w:rsidR="00A01AB9" w:rsidRPr="00512E3A">
              <w:rPr>
                <w:rFonts w:asciiTheme="minorHAnsi" w:hAnsiTheme="minorHAnsi"/>
                <w:webHidden/>
              </w:rPr>
              <w:fldChar w:fldCharType="begin"/>
            </w:r>
            <w:r w:rsidR="00A01AB9" w:rsidRPr="00512E3A">
              <w:rPr>
                <w:rFonts w:asciiTheme="minorHAnsi" w:hAnsiTheme="minorHAnsi"/>
                <w:webHidden/>
              </w:rPr>
              <w:instrText xml:space="preserve"> PAGEREF _Toc401575356 \h </w:instrText>
            </w:r>
            <w:r w:rsidR="00A01AB9" w:rsidRPr="00512E3A">
              <w:rPr>
                <w:rFonts w:asciiTheme="minorHAnsi" w:hAnsiTheme="minorHAnsi"/>
                <w:webHidden/>
              </w:rPr>
            </w:r>
            <w:r w:rsidR="00A01AB9" w:rsidRPr="00512E3A">
              <w:rPr>
                <w:rFonts w:asciiTheme="minorHAnsi" w:hAnsiTheme="minorHAnsi"/>
                <w:webHidden/>
              </w:rPr>
              <w:fldChar w:fldCharType="separate"/>
            </w:r>
            <w:r w:rsidR="00784F84" w:rsidRPr="00512E3A">
              <w:rPr>
                <w:rFonts w:asciiTheme="minorHAnsi" w:hAnsiTheme="minorHAnsi"/>
                <w:webHidden/>
              </w:rPr>
              <w:t>5</w:t>
            </w:r>
            <w:r w:rsidR="00A01AB9" w:rsidRPr="00512E3A">
              <w:rPr>
                <w:rFonts w:asciiTheme="minorHAnsi" w:hAnsiTheme="minorHAnsi"/>
                <w:webHidden/>
              </w:rPr>
              <w:fldChar w:fldCharType="end"/>
            </w:r>
          </w:hyperlink>
        </w:p>
        <w:p w:rsidR="00A01AB9" w:rsidRPr="00512E3A" w:rsidRDefault="00B9633D">
          <w:pPr>
            <w:pStyle w:val="TOC1"/>
            <w:rPr>
              <w:rFonts w:asciiTheme="minorHAnsi" w:hAnsiTheme="minorHAnsi" w:cstheme="minorBidi"/>
            </w:rPr>
          </w:pPr>
          <w:hyperlink w:anchor="_Toc401575357" w:history="1">
            <w:r w:rsidR="00A01AB9" w:rsidRPr="00512E3A">
              <w:rPr>
                <w:rStyle w:val="Hyperlink"/>
                <w:rFonts w:asciiTheme="minorHAnsi" w:hAnsiTheme="minorHAnsi"/>
              </w:rPr>
              <w:t>3.0 Staff</w:t>
            </w:r>
            <w:r w:rsidR="00A01AB9" w:rsidRPr="00512E3A">
              <w:rPr>
                <w:rFonts w:asciiTheme="minorHAnsi" w:hAnsiTheme="minorHAnsi"/>
                <w:webHidden/>
              </w:rPr>
              <w:tab/>
            </w:r>
            <w:r w:rsidR="00A01AB9" w:rsidRPr="00512E3A">
              <w:rPr>
                <w:rFonts w:asciiTheme="minorHAnsi" w:hAnsiTheme="minorHAnsi"/>
                <w:webHidden/>
              </w:rPr>
              <w:fldChar w:fldCharType="begin"/>
            </w:r>
            <w:r w:rsidR="00A01AB9" w:rsidRPr="00512E3A">
              <w:rPr>
                <w:rFonts w:asciiTheme="minorHAnsi" w:hAnsiTheme="minorHAnsi"/>
                <w:webHidden/>
              </w:rPr>
              <w:instrText xml:space="preserve"> PAGEREF _Toc401575357 \h </w:instrText>
            </w:r>
            <w:r w:rsidR="00A01AB9" w:rsidRPr="00512E3A">
              <w:rPr>
                <w:rFonts w:asciiTheme="minorHAnsi" w:hAnsiTheme="minorHAnsi"/>
                <w:webHidden/>
              </w:rPr>
            </w:r>
            <w:r w:rsidR="00A01AB9" w:rsidRPr="00512E3A">
              <w:rPr>
                <w:rFonts w:asciiTheme="minorHAnsi" w:hAnsiTheme="minorHAnsi"/>
                <w:webHidden/>
              </w:rPr>
              <w:fldChar w:fldCharType="separate"/>
            </w:r>
            <w:r w:rsidR="00784F84" w:rsidRPr="00512E3A">
              <w:rPr>
                <w:rFonts w:asciiTheme="minorHAnsi" w:hAnsiTheme="minorHAnsi"/>
                <w:webHidden/>
              </w:rPr>
              <w:t>6</w:t>
            </w:r>
            <w:r w:rsidR="00A01AB9" w:rsidRPr="00512E3A">
              <w:rPr>
                <w:rFonts w:asciiTheme="minorHAnsi" w:hAnsiTheme="minorHAnsi"/>
                <w:webHidden/>
              </w:rPr>
              <w:fldChar w:fldCharType="end"/>
            </w:r>
          </w:hyperlink>
        </w:p>
        <w:p w:rsidR="00A01AB9" w:rsidRPr="00512E3A" w:rsidRDefault="00B9633D">
          <w:pPr>
            <w:pStyle w:val="TOC2"/>
            <w:tabs>
              <w:tab w:val="right" w:leader="dot" w:pos="9855"/>
            </w:tabs>
            <w:rPr>
              <w:noProof/>
            </w:rPr>
          </w:pPr>
          <w:hyperlink w:anchor="_Toc401575358" w:history="1">
            <w:r w:rsidR="00A01AB9" w:rsidRPr="00512E3A">
              <w:rPr>
                <w:rStyle w:val="Hyperlink"/>
                <w:rFonts w:asciiTheme="minorHAnsi" w:hAnsiTheme="minorHAnsi"/>
                <w:noProof/>
              </w:rPr>
              <w:t>3.1 Key facts and figures</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_Toc401575358 \h </w:instrText>
            </w:r>
            <w:r w:rsidR="00A01AB9" w:rsidRPr="00512E3A">
              <w:rPr>
                <w:noProof/>
                <w:webHidden/>
              </w:rPr>
            </w:r>
            <w:r w:rsidR="00A01AB9" w:rsidRPr="00512E3A">
              <w:rPr>
                <w:noProof/>
                <w:webHidden/>
              </w:rPr>
              <w:fldChar w:fldCharType="separate"/>
            </w:r>
            <w:r w:rsidR="00784F84" w:rsidRPr="00512E3A">
              <w:rPr>
                <w:noProof/>
                <w:webHidden/>
              </w:rPr>
              <w:t>6</w:t>
            </w:r>
            <w:r w:rsidR="00A01AB9" w:rsidRPr="00512E3A">
              <w:rPr>
                <w:noProof/>
                <w:webHidden/>
              </w:rPr>
              <w:fldChar w:fldCharType="end"/>
            </w:r>
          </w:hyperlink>
        </w:p>
        <w:p w:rsidR="00A01AB9" w:rsidRPr="00512E3A" w:rsidRDefault="00B9633D">
          <w:pPr>
            <w:pStyle w:val="TOC2"/>
            <w:tabs>
              <w:tab w:val="right" w:leader="dot" w:pos="9855"/>
            </w:tabs>
            <w:rPr>
              <w:noProof/>
            </w:rPr>
          </w:pPr>
          <w:hyperlink w:anchor="_Toc401575359" w:history="1">
            <w:r w:rsidR="00A01AB9" w:rsidRPr="00512E3A">
              <w:rPr>
                <w:rStyle w:val="Hyperlink"/>
                <w:rFonts w:asciiTheme="minorHAnsi" w:hAnsiTheme="minorHAnsi"/>
                <w:noProof/>
              </w:rPr>
              <w:t>3.2 Gender</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_Toc401575359 \h </w:instrText>
            </w:r>
            <w:r w:rsidR="00A01AB9" w:rsidRPr="00512E3A">
              <w:rPr>
                <w:noProof/>
                <w:webHidden/>
              </w:rPr>
            </w:r>
            <w:r w:rsidR="00A01AB9" w:rsidRPr="00512E3A">
              <w:rPr>
                <w:noProof/>
                <w:webHidden/>
              </w:rPr>
              <w:fldChar w:fldCharType="separate"/>
            </w:r>
            <w:r w:rsidR="00784F84" w:rsidRPr="00512E3A">
              <w:rPr>
                <w:noProof/>
                <w:webHidden/>
              </w:rPr>
              <w:t>6</w:t>
            </w:r>
            <w:r w:rsidR="00A01AB9" w:rsidRPr="00512E3A">
              <w:rPr>
                <w:noProof/>
                <w:webHidden/>
              </w:rPr>
              <w:fldChar w:fldCharType="end"/>
            </w:r>
          </w:hyperlink>
        </w:p>
        <w:p w:rsidR="00A01AB9" w:rsidRPr="00512E3A" w:rsidRDefault="00B9633D">
          <w:pPr>
            <w:pStyle w:val="TOC3"/>
            <w:tabs>
              <w:tab w:val="right" w:leader="dot" w:pos="9855"/>
            </w:tabs>
            <w:rPr>
              <w:noProof/>
            </w:rPr>
          </w:pPr>
          <w:hyperlink w:anchor="_Toc401575360" w:history="1">
            <w:r w:rsidR="00A01AB9" w:rsidRPr="00512E3A">
              <w:rPr>
                <w:rStyle w:val="Hyperlink"/>
                <w:rFonts w:asciiTheme="minorHAnsi" w:hAnsiTheme="minorHAnsi"/>
                <w:noProof/>
              </w:rPr>
              <w:t>3.2.1 Groups and initiatives</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_Toc401575360 \h </w:instrText>
            </w:r>
            <w:r w:rsidR="00A01AB9" w:rsidRPr="00512E3A">
              <w:rPr>
                <w:noProof/>
                <w:webHidden/>
              </w:rPr>
            </w:r>
            <w:r w:rsidR="00A01AB9" w:rsidRPr="00512E3A">
              <w:rPr>
                <w:noProof/>
                <w:webHidden/>
              </w:rPr>
              <w:fldChar w:fldCharType="separate"/>
            </w:r>
            <w:r w:rsidR="00784F84" w:rsidRPr="00512E3A">
              <w:rPr>
                <w:noProof/>
                <w:webHidden/>
              </w:rPr>
              <w:t>7</w:t>
            </w:r>
            <w:r w:rsidR="00A01AB9" w:rsidRPr="00512E3A">
              <w:rPr>
                <w:noProof/>
                <w:webHidden/>
              </w:rPr>
              <w:fldChar w:fldCharType="end"/>
            </w:r>
          </w:hyperlink>
        </w:p>
        <w:p w:rsidR="00A01AB9" w:rsidRPr="00512E3A" w:rsidRDefault="00B9633D">
          <w:pPr>
            <w:pStyle w:val="TOC3"/>
            <w:tabs>
              <w:tab w:val="right" w:leader="dot" w:pos="9855"/>
            </w:tabs>
            <w:rPr>
              <w:noProof/>
            </w:rPr>
          </w:pPr>
          <w:hyperlink w:anchor="_Toc401575361" w:history="1">
            <w:r w:rsidR="00A01AB9" w:rsidRPr="00512E3A">
              <w:rPr>
                <w:rStyle w:val="Hyperlink"/>
                <w:rFonts w:asciiTheme="minorHAnsi" w:hAnsiTheme="minorHAnsi"/>
                <w:noProof/>
              </w:rPr>
              <w:t>3.2.2 Staff groups and grades</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_Toc401575361 \h </w:instrText>
            </w:r>
            <w:r w:rsidR="00A01AB9" w:rsidRPr="00512E3A">
              <w:rPr>
                <w:noProof/>
                <w:webHidden/>
              </w:rPr>
            </w:r>
            <w:r w:rsidR="00A01AB9" w:rsidRPr="00512E3A">
              <w:rPr>
                <w:noProof/>
                <w:webHidden/>
              </w:rPr>
              <w:fldChar w:fldCharType="separate"/>
            </w:r>
            <w:r w:rsidR="00784F84" w:rsidRPr="00512E3A">
              <w:rPr>
                <w:noProof/>
                <w:webHidden/>
              </w:rPr>
              <w:t>9</w:t>
            </w:r>
            <w:r w:rsidR="00A01AB9" w:rsidRPr="00512E3A">
              <w:rPr>
                <w:noProof/>
                <w:webHidden/>
              </w:rPr>
              <w:fldChar w:fldCharType="end"/>
            </w:r>
          </w:hyperlink>
        </w:p>
        <w:p w:rsidR="00A01AB9" w:rsidRPr="00512E3A" w:rsidRDefault="00B9633D">
          <w:pPr>
            <w:pStyle w:val="TOC3"/>
            <w:tabs>
              <w:tab w:val="right" w:leader="dot" w:pos="9855"/>
            </w:tabs>
            <w:rPr>
              <w:noProof/>
            </w:rPr>
          </w:pPr>
          <w:hyperlink w:anchor="_Toc401575362" w:history="1">
            <w:r w:rsidR="00A01AB9" w:rsidRPr="00512E3A">
              <w:rPr>
                <w:rStyle w:val="Hyperlink"/>
                <w:rFonts w:asciiTheme="minorHAnsi" w:hAnsiTheme="minorHAnsi"/>
                <w:noProof/>
              </w:rPr>
              <w:t>3.2.3 Academic staff type</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_Toc401575362 \h </w:instrText>
            </w:r>
            <w:r w:rsidR="00A01AB9" w:rsidRPr="00512E3A">
              <w:rPr>
                <w:noProof/>
                <w:webHidden/>
              </w:rPr>
            </w:r>
            <w:r w:rsidR="00A01AB9" w:rsidRPr="00512E3A">
              <w:rPr>
                <w:noProof/>
                <w:webHidden/>
              </w:rPr>
              <w:fldChar w:fldCharType="separate"/>
            </w:r>
            <w:r w:rsidR="00784F84" w:rsidRPr="00512E3A">
              <w:rPr>
                <w:noProof/>
                <w:webHidden/>
              </w:rPr>
              <w:t>9</w:t>
            </w:r>
            <w:r w:rsidR="00A01AB9" w:rsidRPr="00512E3A">
              <w:rPr>
                <w:noProof/>
                <w:webHidden/>
              </w:rPr>
              <w:fldChar w:fldCharType="end"/>
            </w:r>
          </w:hyperlink>
        </w:p>
        <w:p w:rsidR="00A01AB9" w:rsidRPr="00512E3A" w:rsidRDefault="00B9633D">
          <w:pPr>
            <w:pStyle w:val="TOC3"/>
            <w:tabs>
              <w:tab w:val="right" w:leader="dot" w:pos="9855"/>
            </w:tabs>
            <w:rPr>
              <w:noProof/>
            </w:rPr>
          </w:pPr>
          <w:hyperlink w:anchor="_Toc401575363" w:history="1">
            <w:r w:rsidR="00A01AB9" w:rsidRPr="00512E3A">
              <w:rPr>
                <w:rStyle w:val="Hyperlink"/>
                <w:rFonts w:asciiTheme="minorHAnsi" w:hAnsiTheme="minorHAnsi"/>
                <w:noProof/>
              </w:rPr>
              <w:t>3.2.4 Employment status</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_Toc401575363 \h </w:instrText>
            </w:r>
            <w:r w:rsidR="00A01AB9" w:rsidRPr="00512E3A">
              <w:rPr>
                <w:noProof/>
                <w:webHidden/>
              </w:rPr>
            </w:r>
            <w:r w:rsidR="00A01AB9" w:rsidRPr="00512E3A">
              <w:rPr>
                <w:noProof/>
                <w:webHidden/>
              </w:rPr>
              <w:fldChar w:fldCharType="separate"/>
            </w:r>
            <w:r w:rsidR="00784F84" w:rsidRPr="00512E3A">
              <w:rPr>
                <w:noProof/>
                <w:webHidden/>
              </w:rPr>
              <w:t>10</w:t>
            </w:r>
            <w:r w:rsidR="00A01AB9" w:rsidRPr="00512E3A">
              <w:rPr>
                <w:noProof/>
                <w:webHidden/>
              </w:rPr>
              <w:fldChar w:fldCharType="end"/>
            </w:r>
          </w:hyperlink>
        </w:p>
        <w:p w:rsidR="00A01AB9" w:rsidRPr="00512E3A" w:rsidRDefault="00B9633D">
          <w:pPr>
            <w:pStyle w:val="TOC3"/>
            <w:tabs>
              <w:tab w:val="right" w:leader="dot" w:pos="9855"/>
            </w:tabs>
            <w:rPr>
              <w:noProof/>
            </w:rPr>
          </w:pPr>
          <w:hyperlink w:anchor="_Toc401575364" w:history="1">
            <w:r w:rsidR="00A01AB9" w:rsidRPr="00512E3A">
              <w:rPr>
                <w:rStyle w:val="Hyperlink"/>
                <w:rFonts w:asciiTheme="minorHAnsi" w:hAnsiTheme="minorHAnsi"/>
                <w:noProof/>
              </w:rPr>
              <w:t>3.2.5 STEMM vs AHSS</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_Toc401575364 \h </w:instrText>
            </w:r>
            <w:r w:rsidR="00A01AB9" w:rsidRPr="00512E3A">
              <w:rPr>
                <w:noProof/>
                <w:webHidden/>
              </w:rPr>
            </w:r>
            <w:r w:rsidR="00A01AB9" w:rsidRPr="00512E3A">
              <w:rPr>
                <w:noProof/>
                <w:webHidden/>
              </w:rPr>
              <w:fldChar w:fldCharType="separate"/>
            </w:r>
            <w:r w:rsidR="00784F84" w:rsidRPr="00512E3A">
              <w:rPr>
                <w:noProof/>
                <w:webHidden/>
              </w:rPr>
              <w:t>10</w:t>
            </w:r>
            <w:r w:rsidR="00A01AB9" w:rsidRPr="00512E3A">
              <w:rPr>
                <w:noProof/>
                <w:webHidden/>
              </w:rPr>
              <w:fldChar w:fldCharType="end"/>
            </w:r>
          </w:hyperlink>
        </w:p>
        <w:p w:rsidR="00A01AB9" w:rsidRPr="00512E3A" w:rsidRDefault="00B9633D">
          <w:pPr>
            <w:pStyle w:val="TOC3"/>
            <w:tabs>
              <w:tab w:val="right" w:leader="dot" w:pos="9855"/>
            </w:tabs>
            <w:rPr>
              <w:noProof/>
            </w:rPr>
          </w:pPr>
          <w:hyperlink w:anchor="_Toc401575365" w:history="1">
            <w:r w:rsidR="00A01AB9" w:rsidRPr="00512E3A">
              <w:rPr>
                <w:rStyle w:val="Hyperlink"/>
                <w:rFonts w:asciiTheme="minorHAnsi" w:hAnsiTheme="minorHAnsi"/>
                <w:noProof/>
              </w:rPr>
              <w:t>3.2.6 Senior University Committees</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_Toc401575365 \h </w:instrText>
            </w:r>
            <w:r w:rsidR="00A01AB9" w:rsidRPr="00512E3A">
              <w:rPr>
                <w:noProof/>
                <w:webHidden/>
              </w:rPr>
            </w:r>
            <w:r w:rsidR="00A01AB9" w:rsidRPr="00512E3A">
              <w:rPr>
                <w:noProof/>
                <w:webHidden/>
              </w:rPr>
              <w:fldChar w:fldCharType="separate"/>
            </w:r>
            <w:r w:rsidR="00784F84" w:rsidRPr="00512E3A">
              <w:rPr>
                <w:noProof/>
                <w:webHidden/>
              </w:rPr>
              <w:t>11</w:t>
            </w:r>
            <w:r w:rsidR="00A01AB9" w:rsidRPr="00512E3A">
              <w:rPr>
                <w:noProof/>
                <w:webHidden/>
              </w:rPr>
              <w:fldChar w:fldCharType="end"/>
            </w:r>
          </w:hyperlink>
        </w:p>
        <w:p w:rsidR="00A01AB9" w:rsidRPr="00512E3A" w:rsidRDefault="00B9633D">
          <w:pPr>
            <w:pStyle w:val="TOC3"/>
            <w:tabs>
              <w:tab w:val="right" w:leader="dot" w:pos="9855"/>
            </w:tabs>
            <w:rPr>
              <w:noProof/>
            </w:rPr>
          </w:pPr>
          <w:hyperlink w:anchor="_Toc401575366" w:history="1">
            <w:r w:rsidR="00A01AB9" w:rsidRPr="00512E3A">
              <w:rPr>
                <w:rStyle w:val="Hyperlink"/>
                <w:rFonts w:asciiTheme="minorHAnsi" w:hAnsiTheme="minorHAnsi"/>
                <w:noProof/>
              </w:rPr>
              <w:t>3.2.7 Equal Pay Reviews</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_Toc401575366 \h </w:instrText>
            </w:r>
            <w:r w:rsidR="00A01AB9" w:rsidRPr="00512E3A">
              <w:rPr>
                <w:noProof/>
                <w:webHidden/>
              </w:rPr>
            </w:r>
            <w:r w:rsidR="00A01AB9" w:rsidRPr="00512E3A">
              <w:rPr>
                <w:noProof/>
                <w:webHidden/>
              </w:rPr>
              <w:fldChar w:fldCharType="separate"/>
            </w:r>
            <w:r w:rsidR="00784F84" w:rsidRPr="00512E3A">
              <w:rPr>
                <w:noProof/>
                <w:webHidden/>
              </w:rPr>
              <w:t>12</w:t>
            </w:r>
            <w:r w:rsidR="00A01AB9" w:rsidRPr="00512E3A">
              <w:rPr>
                <w:noProof/>
                <w:webHidden/>
              </w:rPr>
              <w:fldChar w:fldCharType="end"/>
            </w:r>
          </w:hyperlink>
        </w:p>
        <w:p w:rsidR="00A01AB9" w:rsidRPr="00512E3A" w:rsidRDefault="00B9633D">
          <w:pPr>
            <w:pStyle w:val="TOC2"/>
            <w:tabs>
              <w:tab w:val="right" w:leader="dot" w:pos="9855"/>
            </w:tabs>
            <w:rPr>
              <w:noProof/>
            </w:rPr>
          </w:pPr>
          <w:hyperlink w:anchor="_Toc401575367" w:history="1">
            <w:r w:rsidR="00A01AB9" w:rsidRPr="00512E3A">
              <w:rPr>
                <w:rStyle w:val="Hyperlink"/>
                <w:rFonts w:asciiTheme="minorHAnsi" w:hAnsiTheme="minorHAnsi"/>
                <w:noProof/>
              </w:rPr>
              <w:t>3.3 Ethnicity and Nationality</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_Toc401575367 \h </w:instrText>
            </w:r>
            <w:r w:rsidR="00A01AB9" w:rsidRPr="00512E3A">
              <w:rPr>
                <w:noProof/>
                <w:webHidden/>
              </w:rPr>
            </w:r>
            <w:r w:rsidR="00A01AB9" w:rsidRPr="00512E3A">
              <w:rPr>
                <w:noProof/>
                <w:webHidden/>
              </w:rPr>
              <w:fldChar w:fldCharType="separate"/>
            </w:r>
            <w:r w:rsidR="00784F84" w:rsidRPr="00512E3A">
              <w:rPr>
                <w:noProof/>
                <w:webHidden/>
              </w:rPr>
              <w:t>12</w:t>
            </w:r>
            <w:r w:rsidR="00A01AB9" w:rsidRPr="00512E3A">
              <w:rPr>
                <w:noProof/>
                <w:webHidden/>
              </w:rPr>
              <w:fldChar w:fldCharType="end"/>
            </w:r>
          </w:hyperlink>
        </w:p>
        <w:p w:rsidR="00A01AB9" w:rsidRPr="00512E3A" w:rsidRDefault="00B9633D">
          <w:pPr>
            <w:pStyle w:val="TOC3"/>
            <w:tabs>
              <w:tab w:val="right" w:leader="dot" w:pos="9855"/>
            </w:tabs>
            <w:rPr>
              <w:noProof/>
            </w:rPr>
          </w:pPr>
          <w:hyperlink w:anchor="_Toc401575368" w:history="1">
            <w:r w:rsidR="00A01AB9" w:rsidRPr="00512E3A">
              <w:rPr>
                <w:rStyle w:val="Hyperlink"/>
                <w:rFonts w:asciiTheme="minorHAnsi" w:hAnsiTheme="minorHAnsi"/>
                <w:noProof/>
              </w:rPr>
              <w:t>3.3.1 Groups and Initiatives</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_Toc401575368 \h </w:instrText>
            </w:r>
            <w:r w:rsidR="00A01AB9" w:rsidRPr="00512E3A">
              <w:rPr>
                <w:noProof/>
                <w:webHidden/>
              </w:rPr>
            </w:r>
            <w:r w:rsidR="00A01AB9" w:rsidRPr="00512E3A">
              <w:rPr>
                <w:noProof/>
                <w:webHidden/>
              </w:rPr>
              <w:fldChar w:fldCharType="separate"/>
            </w:r>
            <w:r w:rsidR="00784F84" w:rsidRPr="00512E3A">
              <w:rPr>
                <w:noProof/>
                <w:webHidden/>
              </w:rPr>
              <w:t>12</w:t>
            </w:r>
            <w:r w:rsidR="00A01AB9" w:rsidRPr="00512E3A">
              <w:rPr>
                <w:noProof/>
                <w:webHidden/>
              </w:rPr>
              <w:fldChar w:fldCharType="end"/>
            </w:r>
          </w:hyperlink>
        </w:p>
        <w:p w:rsidR="00A01AB9" w:rsidRPr="00512E3A" w:rsidRDefault="00B9633D">
          <w:pPr>
            <w:pStyle w:val="TOC3"/>
            <w:tabs>
              <w:tab w:val="right" w:leader="dot" w:pos="9855"/>
            </w:tabs>
            <w:rPr>
              <w:noProof/>
            </w:rPr>
          </w:pPr>
          <w:hyperlink w:anchor="_Toc401575369" w:history="1">
            <w:r w:rsidR="00A01AB9" w:rsidRPr="00512E3A">
              <w:rPr>
                <w:rStyle w:val="Hyperlink"/>
                <w:rFonts w:asciiTheme="minorHAnsi" w:hAnsiTheme="minorHAnsi"/>
                <w:noProof/>
              </w:rPr>
              <w:t>3.3.2 Ethnic Groups</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_Toc401575369 \h </w:instrText>
            </w:r>
            <w:r w:rsidR="00A01AB9" w:rsidRPr="00512E3A">
              <w:rPr>
                <w:noProof/>
                <w:webHidden/>
              </w:rPr>
            </w:r>
            <w:r w:rsidR="00A01AB9" w:rsidRPr="00512E3A">
              <w:rPr>
                <w:noProof/>
                <w:webHidden/>
              </w:rPr>
              <w:fldChar w:fldCharType="separate"/>
            </w:r>
            <w:r w:rsidR="00784F84" w:rsidRPr="00512E3A">
              <w:rPr>
                <w:noProof/>
                <w:webHidden/>
              </w:rPr>
              <w:t>13</w:t>
            </w:r>
            <w:r w:rsidR="00A01AB9" w:rsidRPr="00512E3A">
              <w:rPr>
                <w:noProof/>
                <w:webHidden/>
              </w:rPr>
              <w:fldChar w:fldCharType="end"/>
            </w:r>
          </w:hyperlink>
        </w:p>
        <w:p w:rsidR="00A01AB9" w:rsidRPr="00512E3A" w:rsidRDefault="00B9633D">
          <w:pPr>
            <w:pStyle w:val="TOC3"/>
            <w:tabs>
              <w:tab w:val="right" w:leader="dot" w:pos="9855"/>
            </w:tabs>
            <w:rPr>
              <w:noProof/>
            </w:rPr>
          </w:pPr>
          <w:hyperlink w:anchor="_Toc401575370" w:history="1">
            <w:r w:rsidR="00A01AB9" w:rsidRPr="00512E3A">
              <w:rPr>
                <w:rStyle w:val="Hyperlink"/>
                <w:rFonts w:asciiTheme="minorHAnsi" w:hAnsiTheme="minorHAnsi"/>
                <w:noProof/>
              </w:rPr>
              <w:t>3.3.3 Nationality</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_Toc401575370 \h </w:instrText>
            </w:r>
            <w:r w:rsidR="00A01AB9" w:rsidRPr="00512E3A">
              <w:rPr>
                <w:noProof/>
                <w:webHidden/>
              </w:rPr>
            </w:r>
            <w:r w:rsidR="00A01AB9" w:rsidRPr="00512E3A">
              <w:rPr>
                <w:noProof/>
                <w:webHidden/>
              </w:rPr>
              <w:fldChar w:fldCharType="separate"/>
            </w:r>
            <w:r w:rsidR="00784F84" w:rsidRPr="00512E3A">
              <w:rPr>
                <w:noProof/>
                <w:webHidden/>
              </w:rPr>
              <w:t>14</w:t>
            </w:r>
            <w:r w:rsidR="00A01AB9" w:rsidRPr="00512E3A">
              <w:rPr>
                <w:noProof/>
                <w:webHidden/>
              </w:rPr>
              <w:fldChar w:fldCharType="end"/>
            </w:r>
          </w:hyperlink>
        </w:p>
        <w:p w:rsidR="00A01AB9" w:rsidRPr="00512E3A" w:rsidRDefault="00B9633D">
          <w:pPr>
            <w:pStyle w:val="TOC3"/>
            <w:tabs>
              <w:tab w:val="right" w:leader="dot" w:pos="9855"/>
            </w:tabs>
            <w:rPr>
              <w:noProof/>
            </w:rPr>
          </w:pPr>
          <w:hyperlink w:anchor="_Toc401575371" w:history="1">
            <w:r w:rsidR="00A01AB9" w:rsidRPr="00512E3A">
              <w:rPr>
                <w:rStyle w:val="Hyperlink"/>
                <w:rFonts w:asciiTheme="minorHAnsi" w:hAnsiTheme="minorHAnsi"/>
                <w:noProof/>
              </w:rPr>
              <w:t>3.3.4 Staff groups and grades</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_Toc401575371 \h </w:instrText>
            </w:r>
            <w:r w:rsidR="00A01AB9" w:rsidRPr="00512E3A">
              <w:rPr>
                <w:noProof/>
                <w:webHidden/>
              </w:rPr>
            </w:r>
            <w:r w:rsidR="00A01AB9" w:rsidRPr="00512E3A">
              <w:rPr>
                <w:noProof/>
                <w:webHidden/>
              </w:rPr>
              <w:fldChar w:fldCharType="separate"/>
            </w:r>
            <w:r w:rsidR="00784F84" w:rsidRPr="00512E3A">
              <w:rPr>
                <w:noProof/>
                <w:webHidden/>
              </w:rPr>
              <w:t>14</w:t>
            </w:r>
            <w:r w:rsidR="00A01AB9" w:rsidRPr="00512E3A">
              <w:rPr>
                <w:noProof/>
                <w:webHidden/>
              </w:rPr>
              <w:fldChar w:fldCharType="end"/>
            </w:r>
          </w:hyperlink>
        </w:p>
        <w:p w:rsidR="00A01AB9" w:rsidRPr="00512E3A" w:rsidRDefault="00B9633D">
          <w:pPr>
            <w:pStyle w:val="TOC3"/>
            <w:tabs>
              <w:tab w:val="right" w:leader="dot" w:pos="9855"/>
            </w:tabs>
            <w:rPr>
              <w:noProof/>
            </w:rPr>
          </w:pPr>
          <w:hyperlink w:anchor="_Toc401575372" w:history="1">
            <w:r w:rsidR="00A01AB9" w:rsidRPr="00512E3A">
              <w:rPr>
                <w:rStyle w:val="Hyperlink"/>
                <w:rFonts w:asciiTheme="minorHAnsi" w:hAnsiTheme="minorHAnsi"/>
                <w:noProof/>
              </w:rPr>
              <w:t>3.3.5 Employment status</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_Toc401575372 \h </w:instrText>
            </w:r>
            <w:r w:rsidR="00A01AB9" w:rsidRPr="00512E3A">
              <w:rPr>
                <w:noProof/>
                <w:webHidden/>
              </w:rPr>
            </w:r>
            <w:r w:rsidR="00A01AB9" w:rsidRPr="00512E3A">
              <w:rPr>
                <w:noProof/>
                <w:webHidden/>
              </w:rPr>
              <w:fldChar w:fldCharType="separate"/>
            </w:r>
            <w:r w:rsidR="00784F84" w:rsidRPr="00512E3A">
              <w:rPr>
                <w:noProof/>
                <w:webHidden/>
              </w:rPr>
              <w:t>15</w:t>
            </w:r>
            <w:r w:rsidR="00A01AB9" w:rsidRPr="00512E3A">
              <w:rPr>
                <w:noProof/>
                <w:webHidden/>
              </w:rPr>
              <w:fldChar w:fldCharType="end"/>
            </w:r>
          </w:hyperlink>
        </w:p>
        <w:p w:rsidR="00A01AB9" w:rsidRPr="00512E3A" w:rsidRDefault="00B9633D">
          <w:pPr>
            <w:pStyle w:val="TOC2"/>
            <w:tabs>
              <w:tab w:val="right" w:leader="dot" w:pos="9855"/>
            </w:tabs>
            <w:rPr>
              <w:noProof/>
            </w:rPr>
          </w:pPr>
          <w:hyperlink w:anchor="_Toc401575373" w:history="1">
            <w:r w:rsidR="00A01AB9" w:rsidRPr="00512E3A">
              <w:rPr>
                <w:rStyle w:val="Hyperlink"/>
                <w:rFonts w:asciiTheme="minorHAnsi" w:hAnsiTheme="minorHAnsi"/>
                <w:noProof/>
              </w:rPr>
              <w:t>3.4 Disability</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_Toc401575373 \h </w:instrText>
            </w:r>
            <w:r w:rsidR="00A01AB9" w:rsidRPr="00512E3A">
              <w:rPr>
                <w:noProof/>
                <w:webHidden/>
              </w:rPr>
            </w:r>
            <w:r w:rsidR="00A01AB9" w:rsidRPr="00512E3A">
              <w:rPr>
                <w:noProof/>
                <w:webHidden/>
              </w:rPr>
              <w:fldChar w:fldCharType="separate"/>
            </w:r>
            <w:r w:rsidR="00784F84" w:rsidRPr="00512E3A">
              <w:rPr>
                <w:noProof/>
                <w:webHidden/>
              </w:rPr>
              <w:t>16</w:t>
            </w:r>
            <w:r w:rsidR="00A01AB9" w:rsidRPr="00512E3A">
              <w:rPr>
                <w:noProof/>
                <w:webHidden/>
              </w:rPr>
              <w:fldChar w:fldCharType="end"/>
            </w:r>
          </w:hyperlink>
        </w:p>
        <w:p w:rsidR="00A01AB9" w:rsidRPr="00512E3A" w:rsidRDefault="00B9633D">
          <w:pPr>
            <w:pStyle w:val="TOC3"/>
            <w:tabs>
              <w:tab w:val="right" w:leader="dot" w:pos="9855"/>
            </w:tabs>
            <w:rPr>
              <w:noProof/>
            </w:rPr>
          </w:pPr>
          <w:hyperlink w:anchor="_Toc401575374" w:history="1">
            <w:r w:rsidR="00A01AB9" w:rsidRPr="00512E3A">
              <w:rPr>
                <w:rStyle w:val="Hyperlink"/>
                <w:rFonts w:asciiTheme="minorHAnsi" w:hAnsiTheme="minorHAnsi"/>
                <w:noProof/>
              </w:rPr>
              <w:t>3.4.1 Groups and initiatives</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_Toc401575374 \h </w:instrText>
            </w:r>
            <w:r w:rsidR="00A01AB9" w:rsidRPr="00512E3A">
              <w:rPr>
                <w:noProof/>
                <w:webHidden/>
              </w:rPr>
            </w:r>
            <w:r w:rsidR="00A01AB9" w:rsidRPr="00512E3A">
              <w:rPr>
                <w:noProof/>
                <w:webHidden/>
              </w:rPr>
              <w:fldChar w:fldCharType="separate"/>
            </w:r>
            <w:r w:rsidR="00784F84" w:rsidRPr="00512E3A">
              <w:rPr>
                <w:noProof/>
                <w:webHidden/>
              </w:rPr>
              <w:t>16</w:t>
            </w:r>
            <w:r w:rsidR="00A01AB9" w:rsidRPr="00512E3A">
              <w:rPr>
                <w:noProof/>
                <w:webHidden/>
              </w:rPr>
              <w:fldChar w:fldCharType="end"/>
            </w:r>
          </w:hyperlink>
        </w:p>
        <w:p w:rsidR="00A01AB9" w:rsidRPr="00512E3A" w:rsidRDefault="00B9633D">
          <w:pPr>
            <w:pStyle w:val="TOC3"/>
            <w:tabs>
              <w:tab w:val="right" w:leader="dot" w:pos="9855"/>
            </w:tabs>
            <w:rPr>
              <w:noProof/>
            </w:rPr>
          </w:pPr>
          <w:hyperlink w:anchor="_Toc401575375" w:history="1">
            <w:r w:rsidR="00A01AB9" w:rsidRPr="00512E3A">
              <w:rPr>
                <w:rStyle w:val="Hyperlink"/>
                <w:rFonts w:asciiTheme="minorHAnsi" w:hAnsiTheme="minorHAnsi"/>
                <w:noProof/>
              </w:rPr>
              <w:t>3.4.2 Staff groups and grades</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_Toc401575375 \h </w:instrText>
            </w:r>
            <w:r w:rsidR="00A01AB9" w:rsidRPr="00512E3A">
              <w:rPr>
                <w:noProof/>
                <w:webHidden/>
              </w:rPr>
            </w:r>
            <w:r w:rsidR="00A01AB9" w:rsidRPr="00512E3A">
              <w:rPr>
                <w:noProof/>
                <w:webHidden/>
              </w:rPr>
              <w:fldChar w:fldCharType="separate"/>
            </w:r>
            <w:r w:rsidR="00784F84" w:rsidRPr="00512E3A">
              <w:rPr>
                <w:noProof/>
                <w:webHidden/>
              </w:rPr>
              <w:t>17</w:t>
            </w:r>
            <w:r w:rsidR="00A01AB9" w:rsidRPr="00512E3A">
              <w:rPr>
                <w:noProof/>
                <w:webHidden/>
              </w:rPr>
              <w:fldChar w:fldCharType="end"/>
            </w:r>
          </w:hyperlink>
        </w:p>
        <w:p w:rsidR="00A01AB9" w:rsidRPr="00512E3A" w:rsidRDefault="00B9633D">
          <w:pPr>
            <w:pStyle w:val="TOC2"/>
            <w:tabs>
              <w:tab w:val="right" w:leader="dot" w:pos="9855"/>
            </w:tabs>
            <w:rPr>
              <w:noProof/>
            </w:rPr>
          </w:pPr>
          <w:hyperlink w:anchor="_Toc401575376" w:history="1">
            <w:r w:rsidR="00A01AB9" w:rsidRPr="00512E3A">
              <w:rPr>
                <w:rStyle w:val="Hyperlink"/>
                <w:rFonts w:asciiTheme="minorHAnsi" w:hAnsiTheme="minorHAnsi"/>
                <w:noProof/>
              </w:rPr>
              <w:t>3.5 Age</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_Toc401575376 \h </w:instrText>
            </w:r>
            <w:r w:rsidR="00A01AB9" w:rsidRPr="00512E3A">
              <w:rPr>
                <w:noProof/>
                <w:webHidden/>
              </w:rPr>
            </w:r>
            <w:r w:rsidR="00A01AB9" w:rsidRPr="00512E3A">
              <w:rPr>
                <w:noProof/>
                <w:webHidden/>
              </w:rPr>
              <w:fldChar w:fldCharType="separate"/>
            </w:r>
            <w:r w:rsidR="00784F84" w:rsidRPr="00512E3A">
              <w:rPr>
                <w:noProof/>
                <w:webHidden/>
              </w:rPr>
              <w:t>18</w:t>
            </w:r>
            <w:r w:rsidR="00A01AB9" w:rsidRPr="00512E3A">
              <w:rPr>
                <w:noProof/>
                <w:webHidden/>
              </w:rPr>
              <w:fldChar w:fldCharType="end"/>
            </w:r>
          </w:hyperlink>
        </w:p>
        <w:p w:rsidR="00A01AB9" w:rsidRPr="00512E3A" w:rsidRDefault="00B9633D">
          <w:pPr>
            <w:pStyle w:val="TOC2"/>
            <w:tabs>
              <w:tab w:val="right" w:leader="dot" w:pos="9855"/>
            </w:tabs>
            <w:rPr>
              <w:noProof/>
            </w:rPr>
          </w:pPr>
          <w:hyperlink w:anchor="_Toc401575377" w:history="1">
            <w:r w:rsidR="00A01AB9" w:rsidRPr="00512E3A">
              <w:rPr>
                <w:rStyle w:val="Hyperlink"/>
                <w:rFonts w:asciiTheme="minorHAnsi" w:hAnsiTheme="minorHAnsi"/>
                <w:noProof/>
              </w:rPr>
              <w:t>3.6 Other Equality Areas</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_Toc401575377 \h </w:instrText>
            </w:r>
            <w:r w:rsidR="00A01AB9" w:rsidRPr="00512E3A">
              <w:rPr>
                <w:noProof/>
                <w:webHidden/>
              </w:rPr>
            </w:r>
            <w:r w:rsidR="00A01AB9" w:rsidRPr="00512E3A">
              <w:rPr>
                <w:noProof/>
                <w:webHidden/>
              </w:rPr>
              <w:fldChar w:fldCharType="separate"/>
            </w:r>
            <w:r w:rsidR="00784F84" w:rsidRPr="00512E3A">
              <w:rPr>
                <w:noProof/>
                <w:webHidden/>
              </w:rPr>
              <w:t>18</w:t>
            </w:r>
            <w:r w:rsidR="00A01AB9" w:rsidRPr="00512E3A">
              <w:rPr>
                <w:noProof/>
                <w:webHidden/>
              </w:rPr>
              <w:fldChar w:fldCharType="end"/>
            </w:r>
          </w:hyperlink>
        </w:p>
        <w:p w:rsidR="00A01AB9" w:rsidRPr="00512E3A" w:rsidRDefault="00B9633D">
          <w:pPr>
            <w:pStyle w:val="TOC3"/>
            <w:tabs>
              <w:tab w:val="right" w:leader="dot" w:pos="9855"/>
            </w:tabs>
            <w:rPr>
              <w:noProof/>
            </w:rPr>
          </w:pPr>
          <w:hyperlink w:anchor="_Toc401575378" w:history="1">
            <w:r w:rsidR="00A01AB9" w:rsidRPr="00512E3A">
              <w:rPr>
                <w:rStyle w:val="Hyperlink"/>
                <w:rFonts w:asciiTheme="minorHAnsi" w:hAnsiTheme="minorHAnsi"/>
                <w:noProof/>
              </w:rPr>
              <w:t>3.6.1 Sexual Orientation and Gender reassignment</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_Toc401575378 \h </w:instrText>
            </w:r>
            <w:r w:rsidR="00A01AB9" w:rsidRPr="00512E3A">
              <w:rPr>
                <w:noProof/>
                <w:webHidden/>
              </w:rPr>
            </w:r>
            <w:r w:rsidR="00A01AB9" w:rsidRPr="00512E3A">
              <w:rPr>
                <w:noProof/>
                <w:webHidden/>
              </w:rPr>
              <w:fldChar w:fldCharType="separate"/>
            </w:r>
            <w:r w:rsidR="00784F84" w:rsidRPr="00512E3A">
              <w:rPr>
                <w:noProof/>
                <w:webHidden/>
              </w:rPr>
              <w:t>19</w:t>
            </w:r>
            <w:r w:rsidR="00A01AB9" w:rsidRPr="00512E3A">
              <w:rPr>
                <w:noProof/>
                <w:webHidden/>
              </w:rPr>
              <w:fldChar w:fldCharType="end"/>
            </w:r>
          </w:hyperlink>
        </w:p>
        <w:p w:rsidR="00A01AB9" w:rsidRPr="00512E3A" w:rsidRDefault="00B9633D">
          <w:pPr>
            <w:pStyle w:val="TOC3"/>
            <w:tabs>
              <w:tab w:val="right" w:leader="dot" w:pos="9855"/>
            </w:tabs>
            <w:rPr>
              <w:noProof/>
            </w:rPr>
          </w:pPr>
          <w:hyperlink w:anchor="_Toc401575379" w:history="1">
            <w:r w:rsidR="00A01AB9" w:rsidRPr="00512E3A">
              <w:rPr>
                <w:rStyle w:val="Hyperlink"/>
                <w:rFonts w:asciiTheme="minorHAnsi" w:hAnsiTheme="minorHAnsi"/>
                <w:noProof/>
              </w:rPr>
              <w:t>3.6.2 Religion or Belief</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_Toc401575379 \h </w:instrText>
            </w:r>
            <w:r w:rsidR="00A01AB9" w:rsidRPr="00512E3A">
              <w:rPr>
                <w:noProof/>
                <w:webHidden/>
              </w:rPr>
            </w:r>
            <w:r w:rsidR="00A01AB9" w:rsidRPr="00512E3A">
              <w:rPr>
                <w:noProof/>
                <w:webHidden/>
              </w:rPr>
              <w:fldChar w:fldCharType="separate"/>
            </w:r>
            <w:r w:rsidR="00784F84" w:rsidRPr="00512E3A">
              <w:rPr>
                <w:noProof/>
                <w:webHidden/>
              </w:rPr>
              <w:t>19</w:t>
            </w:r>
            <w:r w:rsidR="00A01AB9" w:rsidRPr="00512E3A">
              <w:rPr>
                <w:noProof/>
                <w:webHidden/>
              </w:rPr>
              <w:fldChar w:fldCharType="end"/>
            </w:r>
          </w:hyperlink>
        </w:p>
        <w:p w:rsidR="00A01AB9" w:rsidRPr="00512E3A" w:rsidRDefault="00B9633D">
          <w:pPr>
            <w:pStyle w:val="TOC1"/>
            <w:rPr>
              <w:rFonts w:asciiTheme="minorHAnsi" w:hAnsiTheme="minorHAnsi" w:cstheme="minorBidi"/>
            </w:rPr>
          </w:pPr>
          <w:hyperlink w:anchor="_Toc401575380" w:history="1">
            <w:r w:rsidR="00A01AB9" w:rsidRPr="00512E3A">
              <w:rPr>
                <w:rStyle w:val="Hyperlink"/>
                <w:rFonts w:asciiTheme="minorHAnsi" w:hAnsiTheme="minorHAnsi"/>
              </w:rPr>
              <w:t>5.0 Equality Analysis- Equality Assurance Assessments</w:t>
            </w:r>
            <w:r w:rsidR="00A01AB9" w:rsidRPr="00512E3A">
              <w:rPr>
                <w:rFonts w:asciiTheme="minorHAnsi" w:hAnsiTheme="minorHAnsi"/>
                <w:webHidden/>
              </w:rPr>
              <w:tab/>
            </w:r>
            <w:r w:rsidR="00A01AB9" w:rsidRPr="00512E3A">
              <w:rPr>
                <w:rFonts w:asciiTheme="minorHAnsi" w:hAnsiTheme="minorHAnsi"/>
                <w:webHidden/>
              </w:rPr>
              <w:fldChar w:fldCharType="begin"/>
            </w:r>
            <w:r w:rsidR="00A01AB9" w:rsidRPr="00512E3A">
              <w:rPr>
                <w:rFonts w:asciiTheme="minorHAnsi" w:hAnsiTheme="minorHAnsi"/>
                <w:webHidden/>
              </w:rPr>
              <w:instrText xml:space="preserve"> PAGEREF _Toc401575380 \h </w:instrText>
            </w:r>
            <w:r w:rsidR="00A01AB9" w:rsidRPr="00512E3A">
              <w:rPr>
                <w:rFonts w:asciiTheme="minorHAnsi" w:hAnsiTheme="minorHAnsi"/>
                <w:webHidden/>
              </w:rPr>
            </w:r>
            <w:r w:rsidR="00A01AB9" w:rsidRPr="00512E3A">
              <w:rPr>
                <w:rFonts w:asciiTheme="minorHAnsi" w:hAnsiTheme="minorHAnsi"/>
                <w:webHidden/>
              </w:rPr>
              <w:fldChar w:fldCharType="separate"/>
            </w:r>
            <w:r w:rsidR="00784F84" w:rsidRPr="00512E3A">
              <w:rPr>
                <w:rFonts w:asciiTheme="minorHAnsi" w:hAnsiTheme="minorHAnsi"/>
                <w:webHidden/>
              </w:rPr>
              <w:t>26</w:t>
            </w:r>
            <w:r w:rsidR="00A01AB9" w:rsidRPr="00512E3A">
              <w:rPr>
                <w:rFonts w:asciiTheme="minorHAnsi" w:hAnsiTheme="minorHAnsi"/>
                <w:webHidden/>
              </w:rPr>
              <w:fldChar w:fldCharType="end"/>
            </w:r>
          </w:hyperlink>
        </w:p>
        <w:p w:rsidR="00A01AB9" w:rsidRPr="00512E3A" w:rsidRDefault="00B9633D">
          <w:pPr>
            <w:pStyle w:val="TOC1"/>
            <w:rPr>
              <w:rFonts w:asciiTheme="minorHAnsi" w:hAnsiTheme="minorHAnsi" w:cstheme="minorBidi"/>
            </w:rPr>
          </w:pPr>
          <w:hyperlink w:anchor="_Toc401575381" w:history="1">
            <w:r w:rsidR="00A01AB9" w:rsidRPr="00512E3A">
              <w:rPr>
                <w:rStyle w:val="Hyperlink"/>
                <w:rFonts w:asciiTheme="minorHAnsi" w:hAnsiTheme="minorHAnsi"/>
              </w:rPr>
              <w:t>Appendix 1</w:t>
            </w:r>
            <w:r w:rsidR="00A01AB9" w:rsidRPr="00512E3A">
              <w:rPr>
                <w:rFonts w:asciiTheme="minorHAnsi" w:hAnsiTheme="minorHAnsi"/>
                <w:webHidden/>
              </w:rPr>
              <w:tab/>
            </w:r>
            <w:r w:rsidR="00A01AB9" w:rsidRPr="00512E3A">
              <w:rPr>
                <w:rFonts w:asciiTheme="minorHAnsi" w:hAnsiTheme="minorHAnsi"/>
                <w:webHidden/>
              </w:rPr>
              <w:fldChar w:fldCharType="begin"/>
            </w:r>
            <w:r w:rsidR="00A01AB9" w:rsidRPr="00512E3A">
              <w:rPr>
                <w:rFonts w:asciiTheme="minorHAnsi" w:hAnsiTheme="minorHAnsi"/>
                <w:webHidden/>
              </w:rPr>
              <w:instrText xml:space="preserve"> PAGEREF _Toc401575381 \h </w:instrText>
            </w:r>
            <w:r w:rsidR="00A01AB9" w:rsidRPr="00512E3A">
              <w:rPr>
                <w:rFonts w:asciiTheme="minorHAnsi" w:hAnsiTheme="minorHAnsi"/>
                <w:webHidden/>
              </w:rPr>
            </w:r>
            <w:r w:rsidR="00A01AB9" w:rsidRPr="00512E3A">
              <w:rPr>
                <w:rFonts w:asciiTheme="minorHAnsi" w:hAnsiTheme="minorHAnsi"/>
                <w:webHidden/>
              </w:rPr>
              <w:fldChar w:fldCharType="separate"/>
            </w:r>
            <w:r w:rsidR="00784F84" w:rsidRPr="00512E3A">
              <w:rPr>
                <w:rFonts w:asciiTheme="minorHAnsi" w:hAnsiTheme="minorHAnsi"/>
                <w:webHidden/>
              </w:rPr>
              <w:t>27</w:t>
            </w:r>
            <w:r w:rsidR="00A01AB9" w:rsidRPr="00512E3A">
              <w:rPr>
                <w:rFonts w:asciiTheme="minorHAnsi" w:hAnsiTheme="minorHAnsi"/>
                <w:webHidden/>
              </w:rPr>
              <w:fldChar w:fldCharType="end"/>
            </w:r>
          </w:hyperlink>
        </w:p>
        <w:p w:rsidR="00A01AB9" w:rsidRPr="00512E3A" w:rsidRDefault="00B9633D">
          <w:pPr>
            <w:pStyle w:val="TOC2"/>
            <w:tabs>
              <w:tab w:val="right" w:leader="dot" w:pos="9855"/>
            </w:tabs>
            <w:rPr>
              <w:noProof/>
            </w:rPr>
          </w:pPr>
          <w:hyperlink w:anchor="_Toc401575382" w:history="1">
            <w:r w:rsidR="00A01AB9" w:rsidRPr="00512E3A">
              <w:rPr>
                <w:rStyle w:val="Hyperlink"/>
                <w:rFonts w:asciiTheme="minorHAnsi" w:hAnsiTheme="minorHAnsi"/>
                <w:noProof/>
              </w:rPr>
              <w:t>Staff - Definitions and notes</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_Toc401575382 \h </w:instrText>
            </w:r>
            <w:r w:rsidR="00A01AB9" w:rsidRPr="00512E3A">
              <w:rPr>
                <w:noProof/>
                <w:webHidden/>
              </w:rPr>
            </w:r>
            <w:r w:rsidR="00A01AB9" w:rsidRPr="00512E3A">
              <w:rPr>
                <w:noProof/>
                <w:webHidden/>
              </w:rPr>
              <w:fldChar w:fldCharType="separate"/>
            </w:r>
            <w:r w:rsidR="00784F84" w:rsidRPr="00512E3A">
              <w:rPr>
                <w:noProof/>
                <w:webHidden/>
              </w:rPr>
              <w:t>27</w:t>
            </w:r>
            <w:r w:rsidR="00A01AB9" w:rsidRPr="00512E3A">
              <w:rPr>
                <w:noProof/>
                <w:webHidden/>
              </w:rPr>
              <w:fldChar w:fldCharType="end"/>
            </w:r>
          </w:hyperlink>
        </w:p>
        <w:p w:rsidR="00A01AB9" w:rsidRPr="00512E3A" w:rsidRDefault="00B9633D">
          <w:pPr>
            <w:pStyle w:val="TOC2"/>
            <w:tabs>
              <w:tab w:val="right" w:leader="dot" w:pos="9855"/>
            </w:tabs>
            <w:rPr>
              <w:noProof/>
            </w:rPr>
          </w:pPr>
          <w:hyperlink w:anchor="_Toc401575383" w:history="1">
            <w:r w:rsidR="00A01AB9" w:rsidRPr="00512E3A">
              <w:rPr>
                <w:rStyle w:val="Hyperlink"/>
                <w:rFonts w:asciiTheme="minorHAnsi" w:hAnsiTheme="minorHAnsi"/>
                <w:noProof/>
              </w:rPr>
              <w:t>Age (staff)</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_Toc401575383 \h </w:instrText>
            </w:r>
            <w:r w:rsidR="00A01AB9" w:rsidRPr="00512E3A">
              <w:rPr>
                <w:noProof/>
                <w:webHidden/>
              </w:rPr>
            </w:r>
            <w:r w:rsidR="00A01AB9" w:rsidRPr="00512E3A">
              <w:rPr>
                <w:noProof/>
                <w:webHidden/>
              </w:rPr>
              <w:fldChar w:fldCharType="separate"/>
            </w:r>
            <w:r w:rsidR="00784F84" w:rsidRPr="00512E3A">
              <w:rPr>
                <w:noProof/>
                <w:webHidden/>
              </w:rPr>
              <w:t>27</w:t>
            </w:r>
            <w:r w:rsidR="00A01AB9" w:rsidRPr="00512E3A">
              <w:rPr>
                <w:noProof/>
                <w:webHidden/>
              </w:rPr>
              <w:fldChar w:fldCharType="end"/>
            </w:r>
          </w:hyperlink>
        </w:p>
        <w:p w:rsidR="00A01AB9" w:rsidRPr="00512E3A" w:rsidRDefault="00B9633D">
          <w:pPr>
            <w:pStyle w:val="TOC2"/>
            <w:tabs>
              <w:tab w:val="right" w:leader="dot" w:pos="9855"/>
            </w:tabs>
            <w:rPr>
              <w:noProof/>
            </w:rPr>
          </w:pPr>
          <w:hyperlink w:anchor="_Toc401575384" w:history="1">
            <w:r w:rsidR="00A01AB9" w:rsidRPr="00512E3A">
              <w:rPr>
                <w:rStyle w:val="Hyperlink"/>
                <w:rFonts w:asciiTheme="minorHAnsi" w:hAnsiTheme="minorHAnsi"/>
                <w:noProof/>
              </w:rPr>
              <w:t>Disability (staff)</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_Toc401575384 \h </w:instrText>
            </w:r>
            <w:r w:rsidR="00A01AB9" w:rsidRPr="00512E3A">
              <w:rPr>
                <w:noProof/>
                <w:webHidden/>
              </w:rPr>
            </w:r>
            <w:r w:rsidR="00A01AB9" w:rsidRPr="00512E3A">
              <w:rPr>
                <w:noProof/>
                <w:webHidden/>
              </w:rPr>
              <w:fldChar w:fldCharType="separate"/>
            </w:r>
            <w:r w:rsidR="00784F84" w:rsidRPr="00512E3A">
              <w:rPr>
                <w:noProof/>
                <w:webHidden/>
              </w:rPr>
              <w:t>28</w:t>
            </w:r>
            <w:r w:rsidR="00A01AB9" w:rsidRPr="00512E3A">
              <w:rPr>
                <w:noProof/>
                <w:webHidden/>
              </w:rPr>
              <w:fldChar w:fldCharType="end"/>
            </w:r>
          </w:hyperlink>
        </w:p>
        <w:p w:rsidR="00A01AB9" w:rsidRPr="00512E3A" w:rsidRDefault="00B9633D">
          <w:pPr>
            <w:pStyle w:val="TOC2"/>
            <w:tabs>
              <w:tab w:val="right" w:leader="dot" w:pos="9855"/>
            </w:tabs>
            <w:rPr>
              <w:noProof/>
            </w:rPr>
          </w:pPr>
          <w:hyperlink w:anchor="_Toc401575385" w:history="1">
            <w:r w:rsidR="00A01AB9" w:rsidRPr="00512E3A">
              <w:rPr>
                <w:rStyle w:val="Hyperlink"/>
                <w:rFonts w:asciiTheme="minorHAnsi" w:hAnsiTheme="minorHAnsi"/>
                <w:noProof/>
              </w:rPr>
              <w:t>Ethnicity (staff)</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_Toc401575385 \h </w:instrText>
            </w:r>
            <w:r w:rsidR="00A01AB9" w:rsidRPr="00512E3A">
              <w:rPr>
                <w:noProof/>
                <w:webHidden/>
              </w:rPr>
            </w:r>
            <w:r w:rsidR="00A01AB9" w:rsidRPr="00512E3A">
              <w:rPr>
                <w:noProof/>
                <w:webHidden/>
              </w:rPr>
              <w:fldChar w:fldCharType="separate"/>
            </w:r>
            <w:r w:rsidR="00784F84" w:rsidRPr="00512E3A">
              <w:rPr>
                <w:noProof/>
                <w:webHidden/>
              </w:rPr>
              <w:t>28</w:t>
            </w:r>
            <w:r w:rsidR="00A01AB9" w:rsidRPr="00512E3A">
              <w:rPr>
                <w:noProof/>
                <w:webHidden/>
              </w:rPr>
              <w:fldChar w:fldCharType="end"/>
            </w:r>
          </w:hyperlink>
        </w:p>
        <w:p w:rsidR="00A01AB9" w:rsidRPr="00512E3A" w:rsidRDefault="00B9633D">
          <w:pPr>
            <w:pStyle w:val="TOC2"/>
            <w:tabs>
              <w:tab w:val="right" w:leader="dot" w:pos="9855"/>
            </w:tabs>
            <w:rPr>
              <w:noProof/>
            </w:rPr>
          </w:pPr>
          <w:hyperlink w:anchor="_Toc401575386" w:history="1">
            <w:r w:rsidR="00A01AB9" w:rsidRPr="00512E3A">
              <w:rPr>
                <w:rStyle w:val="Hyperlink"/>
                <w:rFonts w:asciiTheme="minorHAnsi" w:hAnsiTheme="minorHAnsi"/>
                <w:noProof/>
              </w:rPr>
              <w:t>Science, Technology, Engineering, Mathematics and Medicine Departments (STEMM)</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_Toc401575386 \h </w:instrText>
            </w:r>
            <w:r w:rsidR="00A01AB9" w:rsidRPr="00512E3A">
              <w:rPr>
                <w:noProof/>
                <w:webHidden/>
              </w:rPr>
            </w:r>
            <w:r w:rsidR="00A01AB9" w:rsidRPr="00512E3A">
              <w:rPr>
                <w:noProof/>
                <w:webHidden/>
              </w:rPr>
              <w:fldChar w:fldCharType="separate"/>
            </w:r>
            <w:r w:rsidR="00784F84" w:rsidRPr="00512E3A">
              <w:rPr>
                <w:noProof/>
                <w:webHidden/>
              </w:rPr>
              <w:t>28</w:t>
            </w:r>
            <w:r w:rsidR="00A01AB9" w:rsidRPr="00512E3A">
              <w:rPr>
                <w:noProof/>
                <w:webHidden/>
              </w:rPr>
              <w:fldChar w:fldCharType="end"/>
            </w:r>
          </w:hyperlink>
        </w:p>
        <w:p w:rsidR="00A01AB9" w:rsidRPr="00512E3A" w:rsidRDefault="00B9633D">
          <w:pPr>
            <w:pStyle w:val="TOC2"/>
            <w:tabs>
              <w:tab w:val="right" w:leader="dot" w:pos="9855"/>
            </w:tabs>
            <w:rPr>
              <w:noProof/>
            </w:rPr>
          </w:pPr>
          <w:hyperlink w:anchor="_Toc401575387" w:history="1">
            <w:r w:rsidR="00A01AB9" w:rsidRPr="00512E3A">
              <w:rPr>
                <w:rStyle w:val="Hyperlink"/>
                <w:rFonts w:asciiTheme="minorHAnsi" w:hAnsiTheme="minorHAnsi"/>
                <w:noProof/>
              </w:rPr>
              <w:t>Staff at the University of Cambridge</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_Toc401575387 \h </w:instrText>
            </w:r>
            <w:r w:rsidR="00A01AB9" w:rsidRPr="00512E3A">
              <w:rPr>
                <w:noProof/>
                <w:webHidden/>
              </w:rPr>
            </w:r>
            <w:r w:rsidR="00A01AB9" w:rsidRPr="00512E3A">
              <w:rPr>
                <w:noProof/>
                <w:webHidden/>
              </w:rPr>
              <w:fldChar w:fldCharType="separate"/>
            </w:r>
            <w:r w:rsidR="00784F84" w:rsidRPr="00512E3A">
              <w:rPr>
                <w:noProof/>
                <w:webHidden/>
              </w:rPr>
              <w:t>28</w:t>
            </w:r>
            <w:r w:rsidR="00A01AB9" w:rsidRPr="00512E3A">
              <w:rPr>
                <w:noProof/>
                <w:webHidden/>
              </w:rPr>
              <w:fldChar w:fldCharType="end"/>
            </w:r>
          </w:hyperlink>
        </w:p>
        <w:p w:rsidR="00A01AB9" w:rsidRPr="00512E3A" w:rsidRDefault="00B9633D">
          <w:pPr>
            <w:pStyle w:val="TOC2"/>
            <w:tabs>
              <w:tab w:val="right" w:leader="dot" w:pos="9855"/>
            </w:tabs>
            <w:rPr>
              <w:noProof/>
            </w:rPr>
          </w:pPr>
          <w:hyperlink w:anchor="_Toc401575388" w:history="1">
            <w:r w:rsidR="00A01AB9" w:rsidRPr="00512E3A">
              <w:rPr>
                <w:rStyle w:val="Hyperlink"/>
                <w:rFonts w:asciiTheme="minorHAnsi" w:hAnsiTheme="minorHAnsi"/>
                <w:noProof/>
              </w:rPr>
              <w:t>Benchmarking</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_Toc401575388 \h </w:instrText>
            </w:r>
            <w:r w:rsidR="00A01AB9" w:rsidRPr="00512E3A">
              <w:rPr>
                <w:noProof/>
                <w:webHidden/>
              </w:rPr>
            </w:r>
            <w:r w:rsidR="00A01AB9" w:rsidRPr="00512E3A">
              <w:rPr>
                <w:noProof/>
                <w:webHidden/>
              </w:rPr>
              <w:fldChar w:fldCharType="separate"/>
            </w:r>
            <w:r w:rsidR="00784F84" w:rsidRPr="00512E3A">
              <w:rPr>
                <w:noProof/>
                <w:webHidden/>
              </w:rPr>
              <w:t>29</w:t>
            </w:r>
            <w:r w:rsidR="00A01AB9" w:rsidRPr="00512E3A">
              <w:rPr>
                <w:noProof/>
                <w:webHidden/>
              </w:rPr>
              <w:fldChar w:fldCharType="end"/>
            </w:r>
          </w:hyperlink>
        </w:p>
        <w:p w:rsidR="00A01AB9" w:rsidRPr="00512E3A" w:rsidRDefault="00B9633D">
          <w:pPr>
            <w:pStyle w:val="TOC2"/>
            <w:tabs>
              <w:tab w:val="right" w:leader="dot" w:pos="9855"/>
            </w:tabs>
            <w:rPr>
              <w:noProof/>
            </w:rPr>
          </w:pPr>
          <w:hyperlink w:anchor="_Toc401575389" w:history="1">
            <w:r w:rsidR="00A01AB9" w:rsidRPr="00512E3A">
              <w:rPr>
                <w:rStyle w:val="Hyperlink"/>
                <w:rFonts w:asciiTheme="minorHAnsi" w:hAnsiTheme="minorHAnsi"/>
                <w:noProof/>
              </w:rPr>
              <w:t>Students - Definitions and notes</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_Toc401575389 \h </w:instrText>
            </w:r>
            <w:r w:rsidR="00A01AB9" w:rsidRPr="00512E3A">
              <w:rPr>
                <w:noProof/>
                <w:webHidden/>
              </w:rPr>
            </w:r>
            <w:r w:rsidR="00A01AB9" w:rsidRPr="00512E3A">
              <w:rPr>
                <w:noProof/>
                <w:webHidden/>
              </w:rPr>
              <w:fldChar w:fldCharType="separate"/>
            </w:r>
            <w:r w:rsidR="00784F84" w:rsidRPr="00512E3A">
              <w:rPr>
                <w:noProof/>
                <w:webHidden/>
              </w:rPr>
              <w:t>29</w:t>
            </w:r>
            <w:r w:rsidR="00A01AB9" w:rsidRPr="00512E3A">
              <w:rPr>
                <w:noProof/>
                <w:webHidden/>
              </w:rPr>
              <w:fldChar w:fldCharType="end"/>
            </w:r>
          </w:hyperlink>
        </w:p>
        <w:p w:rsidR="00A01AB9" w:rsidRPr="00512E3A" w:rsidRDefault="00B9633D">
          <w:pPr>
            <w:pStyle w:val="TOC1"/>
            <w:rPr>
              <w:rFonts w:asciiTheme="minorHAnsi" w:hAnsiTheme="minorHAnsi" w:cstheme="minorBidi"/>
            </w:rPr>
          </w:pPr>
          <w:hyperlink w:anchor="_Toc401575390" w:history="1">
            <w:r w:rsidR="00A01AB9" w:rsidRPr="00512E3A">
              <w:rPr>
                <w:rStyle w:val="Hyperlink"/>
                <w:rFonts w:asciiTheme="minorHAnsi" w:hAnsiTheme="minorHAnsi"/>
              </w:rPr>
              <w:t>Appendix 2 – Letter to Times Higher Education</w:t>
            </w:r>
            <w:r w:rsidR="00A01AB9" w:rsidRPr="00512E3A">
              <w:rPr>
                <w:rFonts w:asciiTheme="minorHAnsi" w:hAnsiTheme="minorHAnsi"/>
                <w:webHidden/>
              </w:rPr>
              <w:tab/>
            </w:r>
            <w:r w:rsidR="00A01AB9" w:rsidRPr="00512E3A">
              <w:rPr>
                <w:rFonts w:asciiTheme="minorHAnsi" w:hAnsiTheme="minorHAnsi"/>
                <w:webHidden/>
              </w:rPr>
              <w:fldChar w:fldCharType="begin"/>
            </w:r>
            <w:r w:rsidR="00A01AB9" w:rsidRPr="00512E3A">
              <w:rPr>
                <w:rFonts w:asciiTheme="minorHAnsi" w:hAnsiTheme="minorHAnsi"/>
                <w:webHidden/>
              </w:rPr>
              <w:instrText xml:space="preserve"> PAGEREF _Toc401575390 \h </w:instrText>
            </w:r>
            <w:r w:rsidR="00A01AB9" w:rsidRPr="00512E3A">
              <w:rPr>
                <w:rFonts w:asciiTheme="minorHAnsi" w:hAnsiTheme="minorHAnsi"/>
                <w:webHidden/>
              </w:rPr>
            </w:r>
            <w:r w:rsidR="00A01AB9" w:rsidRPr="00512E3A">
              <w:rPr>
                <w:rFonts w:asciiTheme="minorHAnsi" w:hAnsiTheme="minorHAnsi"/>
                <w:webHidden/>
              </w:rPr>
              <w:fldChar w:fldCharType="separate"/>
            </w:r>
            <w:r w:rsidR="00784F84" w:rsidRPr="00512E3A">
              <w:rPr>
                <w:rFonts w:asciiTheme="minorHAnsi" w:hAnsiTheme="minorHAnsi"/>
                <w:webHidden/>
              </w:rPr>
              <w:t>30</w:t>
            </w:r>
            <w:r w:rsidR="00A01AB9" w:rsidRPr="00512E3A">
              <w:rPr>
                <w:rFonts w:asciiTheme="minorHAnsi" w:hAnsiTheme="minorHAnsi"/>
                <w:webHidden/>
              </w:rPr>
              <w:fldChar w:fldCharType="end"/>
            </w:r>
          </w:hyperlink>
        </w:p>
        <w:p w:rsidR="00A01AB9" w:rsidRPr="00512E3A" w:rsidRDefault="00B9633D">
          <w:pPr>
            <w:pStyle w:val="TOC1"/>
            <w:rPr>
              <w:rFonts w:asciiTheme="minorHAnsi" w:hAnsiTheme="minorHAnsi" w:cstheme="minorBidi"/>
            </w:rPr>
          </w:pPr>
          <w:hyperlink w:anchor="_Toc401575391" w:history="1">
            <w:r w:rsidR="00A01AB9" w:rsidRPr="00512E3A">
              <w:rPr>
                <w:rStyle w:val="Hyperlink"/>
                <w:rFonts w:asciiTheme="minorHAnsi" w:hAnsiTheme="minorHAnsi"/>
              </w:rPr>
              <w:t>Promoting gender balance</w:t>
            </w:r>
            <w:r w:rsidR="00A01AB9" w:rsidRPr="00512E3A">
              <w:rPr>
                <w:rFonts w:asciiTheme="minorHAnsi" w:hAnsiTheme="minorHAnsi"/>
                <w:webHidden/>
              </w:rPr>
              <w:tab/>
            </w:r>
            <w:r w:rsidR="00A01AB9" w:rsidRPr="00512E3A">
              <w:rPr>
                <w:rFonts w:asciiTheme="minorHAnsi" w:hAnsiTheme="minorHAnsi"/>
                <w:webHidden/>
              </w:rPr>
              <w:fldChar w:fldCharType="begin"/>
            </w:r>
            <w:r w:rsidR="00A01AB9" w:rsidRPr="00512E3A">
              <w:rPr>
                <w:rFonts w:asciiTheme="minorHAnsi" w:hAnsiTheme="minorHAnsi"/>
                <w:webHidden/>
              </w:rPr>
              <w:instrText xml:space="preserve"> PAGEREF _Toc401575391 \h </w:instrText>
            </w:r>
            <w:r w:rsidR="00A01AB9" w:rsidRPr="00512E3A">
              <w:rPr>
                <w:rFonts w:asciiTheme="minorHAnsi" w:hAnsiTheme="minorHAnsi"/>
                <w:webHidden/>
              </w:rPr>
            </w:r>
            <w:r w:rsidR="00A01AB9" w:rsidRPr="00512E3A">
              <w:rPr>
                <w:rFonts w:asciiTheme="minorHAnsi" w:hAnsiTheme="minorHAnsi"/>
                <w:webHidden/>
              </w:rPr>
              <w:fldChar w:fldCharType="separate"/>
            </w:r>
            <w:r w:rsidR="00784F84" w:rsidRPr="00512E3A">
              <w:rPr>
                <w:rFonts w:asciiTheme="minorHAnsi" w:hAnsiTheme="minorHAnsi"/>
                <w:webHidden/>
              </w:rPr>
              <w:t>30</w:t>
            </w:r>
            <w:r w:rsidR="00A01AB9" w:rsidRPr="00512E3A">
              <w:rPr>
                <w:rFonts w:asciiTheme="minorHAnsi" w:hAnsiTheme="minorHAnsi"/>
                <w:webHidden/>
              </w:rPr>
              <w:fldChar w:fldCharType="end"/>
            </w:r>
          </w:hyperlink>
        </w:p>
        <w:p w:rsidR="00A01AB9" w:rsidRPr="00512E3A" w:rsidRDefault="00B9633D">
          <w:pPr>
            <w:pStyle w:val="TOC1"/>
            <w:rPr>
              <w:rFonts w:asciiTheme="minorHAnsi" w:hAnsiTheme="minorHAnsi" w:cstheme="minorBidi"/>
            </w:rPr>
          </w:pPr>
          <w:hyperlink w:anchor="_Toc401575392" w:history="1">
            <w:r w:rsidR="00A01AB9" w:rsidRPr="00512E3A">
              <w:rPr>
                <w:rStyle w:val="Hyperlink"/>
                <w:rFonts w:asciiTheme="minorHAnsi" w:hAnsiTheme="minorHAnsi"/>
              </w:rPr>
              <w:t>Appendix 3</w:t>
            </w:r>
            <w:r w:rsidR="00A01AB9" w:rsidRPr="00512E3A">
              <w:rPr>
                <w:rFonts w:asciiTheme="minorHAnsi" w:hAnsiTheme="minorHAnsi"/>
                <w:webHidden/>
              </w:rPr>
              <w:tab/>
            </w:r>
            <w:r w:rsidR="00A01AB9" w:rsidRPr="00512E3A">
              <w:rPr>
                <w:rFonts w:asciiTheme="minorHAnsi" w:hAnsiTheme="minorHAnsi"/>
                <w:webHidden/>
              </w:rPr>
              <w:fldChar w:fldCharType="begin"/>
            </w:r>
            <w:r w:rsidR="00A01AB9" w:rsidRPr="00512E3A">
              <w:rPr>
                <w:rFonts w:asciiTheme="minorHAnsi" w:hAnsiTheme="minorHAnsi"/>
                <w:webHidden/>
              </w:rPr>
              <w:instrText xml:space="preserve"> PAGEREF _Toc401575392 \h </w:instrText>
            </w:r>
            <w:r w:rsidR="00A01AB9" w:rsidRPr="00512E3A">
              <w:rPr>
                <w:rFonts w:asciiTheme="minorHAnsi" w:hAnsiTheme="minorHAnsi"/>
                <w:webHidden/>
              </w:rPr>
            </w:r>
            <w:r w:rsidR="00A01AB9" w:rsidRPr="00512E3A">
              <w:rPr>
                <w:rFonts w:asciiTheme="minorHAnsi" w:hAnsiTheme="minorHAnsi"/>
                <w:webHidden/>
              </w:rPr>
              <w:fldChar w:fldCharType="separate"/>
            </w:r>
            <w:r w:rsidR="00784F84" w:rsidRPr="00512E3A">
              <w:rPr>
                <w:rFonts w:asciiTheme="minorHAnsi" w:hAnsiTheme="minorHAnsi"/>
                <w:webHidden/>
              </w:rPr>
              <w:t>32</w:t>
            </w:r>
            <w:r w:rsidR="00A01AB9" w:rsidRPr="00512E3A">
              <w:rPr>
                <w:rFonts w:asciiTheme="minorHAnsi" w:hAnsiTheme="minorHAnsi"/>
                <w:webHidden/>
              </w:rPr>
              <w:fldChar w:fldCharType="end"/>
            </w:r>
          </w:hyperlink>
        </w:p>
        <w:p w:rsidR="00F951AA" w:rsidRPr="00512E3A" w:rsidRDefault="00F951AA">
          <w:r w:rsidRPr="00512E3A">
            <w:rPr>
              <w:b/>
              <w:bCs/>
              <w:noProof/>
            </w:rPr>
            <w:fldChar w:fldCharType="end"/>
          </w:r>
        </w:p>
      </w:sdtContent>
    </w:sdt>
    <w:p w:rsidR="00F621A5" w:rsidRPr="00512E3A" w:rsidRDefault="00F621A5">
      <w:pPr>
        <w:rPr>
          <w:rFonts w:cs="Arial"/>
          <w:sz w:val="24"/>
          <w:szCs w:val="24"/>
        </w:rPr>
      </w:pPr>
    </w:p>
    <w:p w:rsidR="00A01AB9" w:rsidRPr="00512E3A" w:rsidRDefault="00F621A5">
      <w:pPr>
        <w:pStyle w:val="TableofFigures"/>
        <w:tabs>
          <w:tab w:val="right" w:leader="dot" w:pos="9855"/>
        </w:tabs>
        <w:rPr>
          <w:noProof/>
        </w:rPr>
      </w:pPr>
      <w:r w:rsidRPr="00512E3A">
        <w:rPr>
          <w:rFonts w:cs="Arial"/>
          <w:sz w:val="24"/>
          <w:szCs w:val="24"/>
        </w:rPr>
        <w:fldChar w:fldCharType="begin"/>
      </w:r>
      <w:r w:rsidRPr="00512E3A">
        <w:rPr>
          <w:rFonts w:cs="Arial"/>
          <w:sz w:val="24"/>
          <w:szCs w:val="24"/>
        </w:rPr>
        <w:instrText xml:space="preserve"> TOC \h \z \c "Figure" </w:instrText>
      </w:r>
      <w:r w:rsidRPr="00512E3A">
        <w:rPr>
          <w:rFonts w:cs="Arial"/>
          <w:sz w:val="24"/>
          <w:szCs w:val="24"/>
        </w:rPr>
        <w:fldChar w:fldCharType="separate"/>
      </w:r>
      <w:hyperlink w:anchor="_Toc401575393" w:history="1">
        <w:r w:rsidR="00A01AB9" w:rsidRPr="00512E3A">
          <w:rPr>
            <w:rStyle w:val="Hyperlink"/>
            <w:rFonts w:asciiTheme="minorHAnsi" w:hAnsiTheme="minorHAnsi"/>
            <w:noProof/>
          </w:rPr>
          <w:t>Figure 1:  Equality and Diversity Infrastructure</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_Toc401575393 \h </w:instrText>
        </w:r>
        <w:r w:rsidR="00A01AB9" w:rsidRPr="00512E3A">
          <w:rPr>
            <w:noProof/>
            <w:webHidden/>
          </w:rPr>
        </w:r>
        <w:r w:rsidR="00A01AB9" w:rsidRPr="00512E3A">
          <w:rPr>
            <w:noProof/>
            <w:webHidden/>
          </w:rPr>
          <w:fldChar w:fldCharType="separate"/>
        </w:r>
        <w:r w:rsidR="00784F84" w:rsidRPr="00512E3A">
          <w:rPr>
            <w:noProof/>
            <w:webHidden/>
          </w:rPr>
          <w:t>5</w:t>
        </w:r>
        <w:r w:rsidR="00A01AB9" w:rsidRPr="00512E3A">
          <w:rPr>
            <w:noProof/>
            <w:webHidden/>
          </w:rPr>
          <w:fldChar w:fldCharType="end"/>
        </w:r>
      </w:hyperlink>
    </w:p>
    <w:p w:rsidR="00A01AB9" w:rsidRPr="00512E3A" w:rsidRDefault="00B9633D">
      <w:pPr>
        <w:pStyle w:val="TableofFigures"/>
        <w:tabs>
          <w:tab w:val="right" w:leader="dot" w:pos="9855"/>
        </w:tabs>
        <w:rPr>
          <w:noProof/>
        </w:rPr>
      </w:pPr>
      <w:hyperlink w:anchor="_Toc401575394" w:history="1">
        <w:r w:rsidR="00A01AB9" w:rsidRPr="00512E3A">
          <w:rPr>
            <w:rStyle w:val="Hyperlink"/>
            <w:rFonts w:asciiTheme="minorHAnsi" w:hAnsiTheme="minorHAnsi"/>
            <w:noProof/>
          </w:rPr>
          <w:t>Figure 2: Headcount summary - Red=staff group, Blue=ethnicity, Green=gender</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_Toc401575394 \h </w:instrText>
        </w:r>
        <w:r w:rsidR="00A01AB9" w:rsidRPr="00512E3A">
          <w:rPr>
            <w:noProof/>
            <w:webHidden/>
          </w:rPr>
        </w:r>
        <w:r w:rsidR="00A01AB9" w:rsidRPr="00512E3A">
          <w:rPr>
            <w:noProof/>
            <w:webHidden/>
          </w:rPr>
          <w:fldChar w:fldCharType="separate"/>
        </w:r>
        <w:r w:rsidR="00784F84" w:rsidRPr="00512E3A">
          <w:rPr>
            <w:noProof/>
            <w:webHidden/>
          </w:rPr>
          <w:t>6</w:t>
        </w:r>
        <w:r w:rsidR="00A01AB9" w:rsidRPr="00512E3A">
          <w:rPr>
            <w:noProof/>
            <w:webHidden/>
          </w:rPr>
          <w:fldChar w:fldCharType="end"/>
        </w:r>
      </w:hyperlink>
    </w:p>
    <w:p w:rsidR="00A01AB9" w:rsidRPr="00512E3A" w:rsidRDefault="00B9633D">
      <w:pPr>
        <w:pStyle w:val="TableofFigures"/>
        <w:tabs>
          <w:tab w:val="right" w:leader="dot" w:pos="9855"/>
        </w:tabs>
        <w:rPr>
          <w:noProof/>
        </w:rPr>
      </w:pPr>
      <w:hyperlink w:anchor="_Toc401575395" w:history="1">
        <w:r w:rsidR="00A01AB9" w:rsidRPr="00512E3A">
          <w:rPr>
            <w:rStyle w:val="Hyperlink"/>
            <w:rFonts w:asciiTheme="minorHAnsi" w:hAnsiTheme="minorHAnsi"/>
            <w:noProof/>
          </w:rPr>
          <w:t>Figure 3: Russell Group gender balance</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_Toc401575395 \h </w:instrText>
        </w:r>
        <w:r w:rsidR="00A01AB9" w:rsidRPr="00512E3A">
          <w:rPr>
            <w:noProof/>
            <w:webHidden/>
          </w:rPr>
        </w:r>
        <w:r w:rsidR="00A01AB9" w:rsidRPr="00512E3A">
          <w:rPr>
            <w:noProof/>
            <w:webHidden/>
          </w:rPr>
          <w:fldChar w:fldCharType="separate"/>
        </w:r>
        <w:r w:rsidR="00784F84" w:rsidRPr="00512E3A">
          <w:rPr>
            <w:noProof/>
            <w:webHidden/>
          </w:rPr>
          <w:t>7</w:t>
        </w:r>
        <w:r w:rsidR="00A01AB9" w:rsidRPr="00512E3A">
          <w:rPr>
            <w:noProof/>
            <w:webHidden/>
          </w:rPr>
          <w:fldChar w:fldCharType="end"/>
        </w:r>
      </w:hyperlink>
    </w:p>
    <w:p w:rsidR="00A01AB9" w:rsidRPr="00512E3A" w:rsidRDefault="00B9633D">
      <w:pPr>
        <w:pStyle w:val="TableofFigures"/>
        <w:tabs>
          <w:tab w:val="right" w:leader="dot" w:pos="9855"/>
        </w:tabs>
        <w:rPr>
          <w:noProof/>
        </w:rPr>
      </w:pPr>
      <w:hyperlink r:id="rId11" w:anchor="_Toc401575396" w:history="1">
        <w:r w:rsidR="00A01AB9" w:rsidRPr="00512E3A">
          <w:rPr>
            <w:rStyle w:val="Hyperlink"/>
            <w:rFonts w:asciiTheme="minorHAnsi" w:hAnsiTheme="minorHAnsi"/>
            <w:noProof/>
          </w:rPr>
          <w:t>Figure 4: Anna Watkins (top), Alison Saunders (bottom)</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_Toc401575396 \h </w:instrText>
        </w:r>
        <w:r w:rsidR="00A01AB9" w:rsidRPr="00512E3A">
          <w:rPr>
            <w:noProof/>
            <w:webHidden/>
          </w:rPr>
        </w:r>
        <w:r w:rsidR="00A01AB9" w:rsidRPr="00512E3A">
          <w:rPr>
            <w:noProof/>
            <w:webHidden/>
          </w:rPr>
          <w:fldChar w:fldCharType="separate"/>
        </w:r>
        <w:r w:rsidR="00784F84" w:rsidRPr="00512E3A">
          <w:rPr>
            <w:noProof/>
            <w:webHidden/>
          </w:rPr>
          <w:t>8</w:t>
        </w:r>
        <w:r w:rsidR="00A01AB9" w:rsidRPr="00512E3A">
          <w:rPr>
            <w:noProof/>
            <w:webHidden/>
          </w:rPr>
          <w:fldChar w:fldCharType="end"/>
        </w:r>
      </w:hyperlink>
    </w:p>
    <w:p w:rsidR="00A01AB9" w:rsidRPr="00512E3A" w:rsidRDefault="00B9633D">
      <w:pPr>
        <w:pStyle w:val="TableofFigures"/>
        <w:tabs>
          <w:tab w:val="right" w:leader="dot" w:pos="9855"/>
        </w:tabs>
        <w:rPr>
          <w:noProof/>
        </w:rPr>
      </w:pPr>
      <w:hyperlink r:id="rId12" w:anchor="_Toc401575397" w:history="1">
        <w:r w:rsidR="00A01AB9" w:rsidRPr="00512E3A">
          <w:rPr>
            <w:rStyle w:val="Hyperlink"/>
            <w:rFonts w:asciiTheme="minorHAnsi" w:hAnsiTheme="minorHAnsi"/>
            <w:noProof/>
          </w:rPr>
          <w:t>Figure 5: WiSETi lecture - Molly Stevens</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_Toc401575397 \h </w:instrText>
        </w:r>
        <w:r w:rsidR="00A01AB9" w:rsidRPr="00512E3A">
          <w:rPr>
            <w:noProof/>
            <w:webHidden/>
          </w:rPr>
        </w:r>
        <w:r w:rsidR="00A01AB9" w:rsidRPr="00512E3A">
          <w:rPr>
            <w:noProof/>
            <w:webHidden/>
          </w:rPr>
          <w:fldChar w:fldCharType="separate"/>
        </w:r>
        <w:r w:rsidR="00784F84" w:rsidRPr="00512E3A">
          <w:rPr>
            <w:noProof/>
            <w:webHidden/>
          </w:rPr>
          <w:t>8</w:t>
        </w:r>
        <w:r w:rsidR="00A01AB9" w:rsidRPr="00512E3A">
          <w:rPr>
            <w:noProof/>
            <w:webHidden/>
          </w:rPr>
          <w:fldChar w:fldCharType="end"/>
        </w:r>
      </w:hyperlink>
    </w:p>
    <w:p w:rsidR="00A01AB9" w:rsidRPr="00512E3A" w:rsidRDefault="00B9633D">
      <w:pPr>
        <w:pStyle w:val="TableofFigures"/>
        <w:tabs>
          <w:tab w:val="right" w:leader="dot" w:pos="9855"/>
        </w:tabs>
        <w:rPr>
          <w:noProof/>
        </w:rPr>
      </w:pPr>
      <w:hyperlink w:anchor="_Toc401575398" w:history="1">
        <w:r w:rsidR="00A01AB9" w:rsidRPr="00512E3A">
          <w:rPr>
            <w:rStyle w:val="Hyperlink"/>
            <w:rFonts w:asciiTheme="minorHAnsi" w:hAnsiTheme="minorHAnsi"/>
            <w:noProof/>
          </w:rPr>
          <w:t>Figure 6:  Gender breakdown by grade</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_Toc401575398 \h </w:instrText>
        </w:r>
        <w:r w:rsidR="00A01AB9" w:rsidRPr="00512E3A">
          <w:rPr>
            <w:noProof/>
            <w:webHidden/>
          </w:rPr>
        </w:r>
        <w:r w:rsidR="00A01AB9" w:rsidRPr="00512E3A">
          <w:rPr>
            <w:noProof/>
            <w:webHidden/>
          </w:rPr>
          <w:fldChar w:fldCharType="separate"/>
        </w:r>
        <w:r w:rsidR="00784F84" w:rsidRPr="00512E3A">
          <w:rPr>
            <w:noProof/>
            <w:webHidden/>
          </w:rPr>
          <w:t>9</w:t>
        </w:r>
        <w:r w:rsidR="00A01AB9" w:rsidRPr="00512E3A">
          <w:rPr>
            <w:noProof/>
            <w:webHidden/>
          </w:rPr>
          <w:fldChar w:fldCharType="end"/>
        </w:r>
      </w:hyperlink>
    </w:p>
    <w:p w:rsidR="00A01AB9" w:rsidRPr="00512E3A" w:rsidRDefault="00B9633D">
      <w:pPr>
        <w:pStyle w:val="TableofFigures"/>
        <w:tabs>
          <w:tab w:val="right" w:leader="dot" w:pos="9855"/>
        </w:tabs>
        <w:rPr>
          <w:noProof/>
        </w:rPr>
      </w:pPr>
      <w:hyperlink w:anchor="_Toc401575399" w:history="1">
        <w:r w:rsidR="00A01AB9" w:rsidRPr="00512E3A">
          <w:rPr>
            <w:rStyle w:val="Hyperlink"/>
            <w:rFonts w:asciiTheme="minorHAnsi" w:hAnsiTheme="minorHAnsi"/>
            <w:noProof/>
          </w:rPr>
          <w:t>Figure 7:  Gender breakdown of academic staff</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_Toc401575399 \h </w:instrText>
        </w:r>
        <w:r w:rsidR="00A01AB9" w:rsidRPr="00512E3A">
          <w:rPr>
            <w:noProof/>
            <w:webHidden/>
          </w:rPr>
        </w:r>
        <w:r w:rsidR="00A01AB9" w:rsidRPr="00512E3A">
          <w:rPr>
            <w:noProof/>
            <w:webHidden/>
          </w:rPr>
          <w:fldChar w:fldCharType="separate"/>
        </w:r>
        <w:r w:rsidR="00784F84" w:rsidRPr="00512E3A">
          <w:rPr>
            <w:noProof/>
            <w:webHidden/>
          </w:rPr>
          <w:t>10</w:t>
        </w:r>
        <w:r w:rsidR="00A01AB9" w:rsidRPr="00512E3A">
          <w:rPr>
            <w:noProof/>
            <w:webHidden/>
          </w:rPr>
          <w:fldChar w:fldCharType="end"/>
        </w:r>
      </w:hyperlink>
    </w:p>
    <w:p w:rsidR="00A01AB9" w:rsidRPr="00512E3A" w:rsidRDefault="00B9633D">
      <w:pPr>
        <w:pStyle w:val="TableofFigures"/>
        <w:tabs>
          <w:tab w:val="right" w:leader="dot" w:pos="9855"/>
        </w:tabs>
        <w:rPr>
          <w:noProof/>
        </w:rPr>
      </w:pPr>
      <w:hyperlink w:anchor="_Toc401575400" w:history="1">
        <w:r w:rsidR="00A01AB9" w:rsidRPr="00512E3A">
          <w:rPr>
            <w:rStyle w:val="Hyperlink"/>
            <w:rFonts w:asciiTheme="minorHAnsi" w:hAnsiTheme="minorHAnsi"/>
            <w:noProof/>
          </w:rPr>
          <w:t>Figure 8:  Employment status by gender</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_Toc401575400 \h </w:instrText>
        </w:r>
        <w:r w:rsidR="00A01AB9" w:rsidRPr="00512E3A">
          <w:rPr>
            <w:noProof/>
            <w:webHidden/>
          </w:rPr>
        </w:r>
        <w:r w:rsidR="00A01AB9" w:rsidRPr="00512E3A">
          <w:rPr>
            <w:noProof/>
            <w:webHidden/>
          </w:rPr>
          <w:fldChar w:fldCharType="separate"/>
        </w:r>
        <w:r w:rsidR="00784F84" w:rsidRPr="00512E3A">
          <w:rPr>
            <w:noProof/>
            <w:webHidden/>
          </w:rPr>
          <w:t>10</w:t>
        </w:r>
        <w:r w:rsidR="00A01AB9" w:rsidRPr="00512E3A">
          <w:rPr>
            <w:noProof/>
            <w:webHidden/>
          </w:rPr>
          <w:fldChar w:fldCharType="end"/>
        </w:r>
      </w:hyperlink>
    </w:p>
    <w:p w:rsidR="00A01AB9" w:rsidRPr="00512E3A" w:rsidRDefault="00B9633D">
      <w:pPr>
        <w:pStyle w:val="TableofFigures"/>
        <w:tabs>
          <w:tab w:val="right" w:leader="dot" w:pos="9855"/>
        </w:tabs>
        <w:rPr>
          <w:noProof/>
        </w:rPr>
      </w:pPr>
      <w:hyperlink w:anchor="_Toc401575401" w:history="1">
        <w:r w:rsidR="00A01AB9" w:rsidRPr="00512E3A">
          <w:rPr>
            <w:rStyle w:val="Hyperlink"/>
            <w:rFonts w:asciiTheme="minorHAnsi" w:hAnsiTheme="minorHAnsi"/>
            <w:noProof/>
          </w:rPr>
          <w:t>Figure 9:  Overall STEMM vs AHSS as well as academics by gender</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_Toc401575401 \h </w:instrText>
        </w:r>
        <w:r w:rsidR="00A01AB9" w:rsidRPr="00512E3A">
          <w:rPr>
            <w:noProof/>
            <w:webHidden/>
          </w:rPr>
        </w:r>
        <w:r w:rsidR="00A01AB9" w:rsidRPr="00512E3A">
          <w:rPr>
            <w:noProof/>
            <w:webHidden/>
          </w:rPr>
          <w:fldChar w:fldCharType="separate"/>
        </w:r>
        <w:r w:rsidR="00784F84" w:rsidRPr="00512E3A">
          <w:rPr>
            <w:noProof/>
            <w:webHidden/>
          </w:rPr>
          <w:t>11</w:t>
        </w:r>
        <w:r w:rsidR="00A01AB9" w:rsidRPr="00512E3A">
          <w:rPr>
            <w:noProof/>
            <w:webHidden/>
          </w:rPr>
          <w:fldChar w:fldCharType="end"/>
        </w:r>
      </w:hyperlink>
    </w:p>
    <w:p w:rsidR="00A01AB9" w:rsidRPr="00512E3A" w:rsidRDefault="00B9633D">
      <w:pPr>
        <w:pStyle w:val="TableofFigures"/>
        <w:tabs>
          <w:tab w:val="right" w:leader="dot" w:pos="9855"/>
        </w:tabs>
        <w:rPr>
          <w:noProof/>
        </w:rPr>
      </w:pPr>
      <w:hyperlink w:anchor="_Toc401575402" w:history="1">
        <w:r w:rsidR="00A01AB9" w:rsidRPr="00512E3A">
          <w:rPr>
            <w:rStyle w:val="Hyperlink"/>
            <w:rFonts w:asciiTheme="minorHAnsi" w:hAnsiTheme="minorHAnsi"/>
            <w:noProof/>
          </w:rPr>
          <w:t>Figure 10: Pyramid of Power</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_Toc401575402 \h </w:instrText>
        </w:r>
        <w:r w:rsidR="00A01AB9" w:rsidRPr="00512E3A">
          <w:rPr>
            <w:noProof/>
            <w:webHidden/>
          </w:rPr>
        </w:r>
        <w:r w:rsidR="00A01AB9" w:rsidRPr="00512E3A">
          <w:rPr>
            <w:noProof/>
            <w:webHidden/>
          </w:rPr>
          <w:fldChar w:fldCharType="separate"/>
        </w:r>
        <w:r w:rsidR="00784F84" w:rsidRPr="00512E3A">
          <w:rPr>
            <w:noProof/>
            <w:webHidden/>
          </w:rPr>
          <w:t>12</w:t>
        </w:r>
        <w:r w:rsidR="00A01AB9" w:rsidRPr="00512E3A">
          <w:rPr>
            <w:noProof/>
            <w:webHidden/>
          </w:rPr>
          <w:fldChar w:fldCharType="end"/>
        </w:r>
      </w:hyperlink>
    </w:p>
    <w:p w:rsidR="00A01AB9" w:rsidRPr="00512E3A" w:rsidRDefault="00B9633D">
      <w:pPr>
        <w:pStyle w:val="TableofFigures"/>
        <w:tabs>
          <w:tab w:val="right" w:leader="dot" w:pos="9855"/>
        </w:tabs>
        <w:rPr>
          <w:noProof/>
        </w:rPr>
      </w:pPr>
      <w:hyperlink w:anchor="_Toc401575403" w:history="1">
        <w:r w:rsidR="00A01AB9" w:rsidRPr="00512E3A">
          <w:rPr>
            <w:rStyle w:val="Hyperlink"/>
            <w:rFonts w:asciiTheme="minorHAnsi" w:hAnsiTheme="minorHAnsi"/>
            <w:noProof/>
          </w:rPr>
          <w:t>Figure 11:  BME, White - Other, White - British pie chart</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_Toc401575403 \h </w:instrText>
        </w:r>
        <w:r w:rsidR="00A01AB9" w:rsidRPr="00512E3A">
          <w:rPr>
            <w:noProof/>
            <w:webHidden/>
          </w:rPr>
        </w:r>
        <w:r w:rsidR="00A01AB9" w:rsidRPr="00512E3A">
          <w:rPr>
            <w:noProof/>
            <w:webHidden/>
          </w:rPr>
          <w:fldChar w:fldCharType="separate"/>
        </w:r>
        <w:r w:rsidR="00784F84" w:rsidRPr="00512E3A">
          <w:rPr>
            <w:noProof/>
            <w:webHidden/>
          </w:rPr>
          <w:t>14</w:t>
        </w:r>
        <w:r w:rsidR="00A01AB9" w:rsidRPr="00512E3A">
          <w:rPr>
            <w:noProof/>
            <w:webHidden/>
          </w:rPr>
          <w:fldChar w:fldCharType="end"/>
        </w:r>
      </w:hyperlink>
    </w:p>
    <w:p w:rsidR="00A01AB9" w:rsidRPr="00512E3A" w:rsidRDefault="00B9633D">
      <w:pPr>
        <w:pStyle w:val="TableofFigures"/>
        <w:tabs>
          <w:tab w:val="right" w:leader="dot" w:pos="9855"/>
        </w:tabs>
        <w:rPr>
          <w:noProof/>
        </w:rPr>
      </w:pPr>
      <w:hyperlink w:anchor="_Toc401575404" w:history="1">
        <w:r w:rsidR="00A01AB9" w:rsidRPr="00512E3A">
          <w:rPr>
            <w:rStyle w:val="Hyperlink"/>
            <w:rFonts w:asciiTheme="minorHAnsi" w:hAnsiTheme="minorHAnsi"/>
            <w:noProof/>
          </w:rPr>
          <w:t>Figure 12:  Nationality pie chart</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_Toc401575404 \h </w:instrText>
        </w:r>
        <w:r w:rsidR="00A01AB9" w:rsidRPr="00512E3A">
          <w:rPr>
            <w:noProof/>
            <w:webHidden/>
          </w:rPr>
        </w:r>
        <w:r w:rsidR="00A01AB9" w:rsidRPr="00512E3A">
          <w:rPr>
            <w:noProof/>
            <w:webHidden/>
          </w:rPr>
          <w:fldChar w:fldCharType="separate"/>
        </w:r>
        <w:r w:rsidR="00784F84" w:rsidRPr="00512E3A">
          <w:rPr>
            <w:noProof/>
            <w:webHidden/>
          </w:rPr>
          <w:t>14</w:t>
        </w:r>
        <w:r w:rsidR="00A01AB9" w:rsidRPr="00512E3A">
          <w:rPr>
            <w:noProof/>
            <w:webHidden/>
          </w:rPr>
          <w:fldChar w:fldCharType="end"/>
        </w:r>
      </w:hyperlink>
    </w:p>
    <w:p w:rsidR="00A01AB9" w:rsidRPr="00512E3A" w:rsidRDefault="00B9633D">
      <w:pPr>
        <w:pStyle w:val="TableofFigures"/>
        <w:tabs>
          <w:tab w:val="right" w:leader="dot" w:pos="9855"/>
        </w:tabs>
        <w:rPr>
          <w:noProof/>
        </w:rPr>
      </w:pPr>
      <w:hyperlink w:anchor="_Toc401575405" w:history="1">
        <w:r w:rsidR="00A01AB9" w:rsidRPr="00512E3A">
          <w:rPr>
            <w:rStyle w:val="Hyperlink"/>
            <w:rFonts w:asciiTheme="minorHAnsi" w:hAnsiTheme="minorHAnsi"/>
            <w:noProof/>
          </w:rPr>
          <w:t>Figure 13: Staff groups by ethnicity and nationality</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_Toc401575405 \h </w:instrText>
        </w:r>
        <w:r w:rsidR="00A01AB9" w:rsidRPr="00512E3A">
          <w:rPr>
            <w:noProof/>
            <w:webHidden/>
          </w:rPr>
        </w:r>
        <w:r w:rsidR="00A01AB9" w:rsidRPr="00512E3A">
          <w:rPr>
            <w:noProof/>
            <w:webHidden/>
          </w:rPr>
          <w:fldChar w:fldCharType="separate"/>
        </w:r>
        <w:r w:rsidR="00784F84" w:rsidRPr="00512E3A">
          <w:rPr>
            <w:noProof/>
            <w:webHidden/>
          </w:rPr>
          <w:t>15</w:t>
        </w:r>
        <w:r w:rsidR="00A01AB9" w:rsidRPr="00512E3A">
          <w:rPr>
            <w:noProof/>
            <w:webHidden/>
          </w:rPr>
          <w:fldChar w:fldCharType="end"/>
        </w:r>
      </w:hyperlink>
    </w:p>
    <w:p w:rsidR="00A01AB9" w:rsidRPr="00512E3A" w:rsidRDefault="00B9633D">
      <w:pPr>
        <w:pStyle w:val="TableofFigures"/>
        <w:tabs>
          <w:tab w:val="right" w:leader="dot" w:pos="9855"/>
        </w:tabs>
        <w:rPr>
          <w:noProof/>
        </w:rPr>
      </w:pPr>
      <w:hyperlink w:anchor="_Toc401575406" w:history="1">
        <w:r w:rsidR="00A01AB9" w:rsidRPr="00512E3A">
          <w:rPr>
            <w:rStyle w:val="Hyperlink"/>
            <w:rFonts w:asciiTheme="minorHAnsi" w:hAnsiTheme="minorHAnsi"/>
            <w:noProof/>
          </w:rPr>
          <w:t>Figure 14:  Staff grades by ethnicity and nationality</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_Toc401575406 \h </w:instrText>
        </w:r>
        <w:r w:rsidR="00A01AB9" w:rsidRPr="00512E3A">
          <w:rPr>
            <w:noProof/>
            <w:webHidden/>
          </w:rPr>
        </w:r>
        <w:r w:rsidR="00A01AB9" w:rsidRPr="00512E3A">
          <w:rPr>
            <w:noProof/>
            <w:webHidden/>
          </w:rPr>
          <w:fldChar w:fldCharType="separate"/>
        </w:r>
        <w:r w:rsidR="00784F84" w:rsidRPr="00512E3A">
          <w:rPr>
            <w:noProof/>
            <w:webHidden/>
          </w:rPr>
          <w:t>15</w:t>
        </w:r>
        <w:r w:rsidR="00A01AB9" w:rsidRPr="00512E3A">
          <w:rPr>
            <w:noProof/>
            <w:webHidden/>
          </w:rPr>
          <w:fldChar w:fldCharType="end"/>
        </w:r>
      </w:hyperlink>
    </w:p>
    <w:p w:rsidR="00A01AB9" w:rsidRPr="00512E3A" w:rsidRDefault="00B9633D">
      <w:pPr>
        <w:pStyle w:val="TableofFigures"/>
        <w:tabs>
          <w:tab w:val="right" w:leader="dot" w:pos="9855"/>
        </w:tabs>
        <w:rPr>
          <w:noProof/>
        </w:rPr>
      </w:pPr>
      <w:hyperlink w:anchor="_Toc401575407" w:history="1">
        <w:r w:rsidR="00A01AB9" w:rsidRPr="00512E3A">
          <w:rPr>
            <w:rStyle w:val="Hyperlink"/>
            <w:rFonts w:asciiTheme="minorHAnsi" w:hAnsiTheme="minorHAnsi"/>
            <w:noProof/>
          </w:rPr>
          <w:t>Figure 15:  Employment status by ethnicity</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_Toc401575407 \h </w:instrText>
        </w:r>
        <w:r w:rsidR="00A01AB9" w:rsidRPr="00512E3A">
          <w:rPr>
            <w:noProof/>
            <w:webHidden/>
          </w:rPr>
        </w:r>
        <w:r w:rsidR="00A01AB9" w:rsidRPr="00512E3A">
          <w:rPr>
            <w:noProof/>
            <w:webHidden/>
          </w:rPr>
          <w:fldChar w:fldCharType="separate"/>
        </w:r>
        <w:r w:rsidR="00784F84" w:rsidRPr="00512E3A">
          <w:rPr>
            <w:noProof/>
            <w:webHidden/>
          </w:rPr>
          <w:t>16</w:t>
        </w:r>
        <w:r w:rsidR="00A01AB9" w:rsidRPr="00512E3A">
          <w:rPr>
            <w:noProof/>
            <w:webHidden/>
          </w:rPr>
          <w:fldChar w:fldCharType="end"/>
        </w:r>
      </w:hyperlink>
    </w:p>
    <w:p w:rsidR="00A01AB9" w:rsidRPr="00512E3A" w:rsidRDefault="00B9633D">
      <w:pPr>
        <w:pStyle w:val="TableofFigures"/>
        <w:tabs>
          <w:tab w:val="right" w:leader="dot" w:pos="9855"/>
        </w:tabs>
        <w:rPr>
          <w:noProof/>
        </w:rPr>
      </w:pPr>
      <w:hyperlink r:id="rId13" w:anchor="_Toc401575408" w:history="1">
        <w:r w:rsidR="00A01AB9" w:rsidRPr="00512E3A">
          <w:rPr>
            <w:rStyle w:val="Hyperlink"/>
            <w:rFonts w:asciiTheme="minorHAnsi" w:hAnsiTheme="minorHAnsi"/>
            <w:noProof/>
          </w:rPr>
          <w:t>Figure 16: Disability lecture - Rachel Perkins</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_Toc401575408 \h </w:instrText>
        </w:r>
        <w:r w:rsidR="00A01AB9" w:rsidRPr="00512E3A">
          <w:rPr>
            <w:noProof/>
            <w:webHidden/>
          </w:rPr>
        </w:r>
        <w:r w:rsidR="00A01AB9" w:rsidRPr="00512E3A">
          <w:rPr>
            <w:noProof/>
            <w:webHidden/>
          </w:rPr>
          <w:fldChar w:fldCharType="separate"/>
        </w:r>
        <w:r w:rsidR="00784F84" w:rsidRPr="00512E3A">
          <w:rPr>
            <w:noProof/>
            <w:webHidden/>
          </w:rPr>
          <w:t>16</w:t>
        </w:r>
        <w:r w:rsidR="00A01AB9" w:rsidRPr="00512E3A">
          <w:rPr>
            <w:noProof/>
            <w:webHidden/>
          </w:rPr>
          <w:fldChar w:fldCharType="end"/>
        </w:r>
      </w:hyperlink>
    </w:p>
    <w:p w:rsidR="00A01AB9" w:rsidRPr="00512E3A" w:rsidRDefault="00B9633D">
      <w:pPr>
        <w:pStyle w:val="TableofFigures"/>
        <w:tabs>
          <w:tab w:val="right" w:leader="dot" w:pos="9855"/>
        </w:tabs>
        <w:rPr>
          <w:noProof/>
        </w:rPr>
      </w:pPr>
      <w:hyperlink w:anchor="_Toc401575409" w:history="1">
        <w:r w:rsidR="00A01AB9" w:rsidRPr="00512E3A">
          <w:rPr>
            <w:rStyle w:val="Hyperlink"/>
            <w:rFonts w:asciiTheme="minorHAnsi" w:hAnsiTheme="minorHAnsi"/>
            <w:noProof/>
          </w:rPr>
          <w:t>Figure 17: Disability disclosure rate by grade</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_Toc401575409 \h </w:instrText>
        </w:r>
        <w:r w:rsidR="00A01AB9" w:rsidRPr="00512E3A">
          <w:rPr>
            <w:noProof/>
            <w:webHidden/>
          </w:rPr>
        </w:r>
        <w:r w:rsidR="00A01AB9" w:rsidRPr="00512E3A">
          <w:rPr>
            <w:noProof/>
            <w:webHidden/>
          </w:rPr>
          <w:fldChar w:fldCharType="separate"/>
        </w:r>
        <w:r w:rsidR="00784F84" w:rsidRPr="00512E3A">
          <w:rPr>
            <w:noProof/>
            <w:webHidden/>
          </w:rPr>
          <w:t>17</w:t>
        </w:r>
        <w:r w:rsidR="00A01AB9" w:rsidRPr="00512E3A">
          <w:rPr>
            <w:noProof/>
            <w:webHidden/>
          </w:rPr>
          <w:fldChar w:fldCharType="end"/>
        </w:r>
      </w:hyperlink>
    </w:p>
    <w:p w:rsidR="00A01AB9" w:rsidRPr="00512E3A" w:rsidRDefault="00B9633D">
      <w:pPr>
        <w:pStyle w:val="TableofFigures"/>
        <w:tabs>
          <w:tab w:val="right" w:leader="dot" w:pos="9855"/>
        </w:tabs>
        <w:rPr>
          <w:noProof/>
        </w:rPr>
      </w:pPr>
      <w:hyperlink w:anchor="_Toc401575410" w:history="1">
        <w:r w:rsidR="00A01AB9" w:rsidRPr="00512E3A">
          <w:rPr>
            <w:rStyle w:val="Hyperlink"/>
            <w:rFonts w:asciiTheme="minorHAnsi" w:hAnsiTheme="minorHAnsi"/>
            <w:noProof/>
          </w:rPr>
          <w:t>Figure 18: Age by gender</w:t>
        </w:r>
        <w:r w:rsidR="00A01AB9" w:rsidRPr="00512E3A">
          <w:rPr>
            <w:noProof/>
            <w:webHidden/>
          </w:rPr>
          <w:tab/>
        </w:r>
        <w:r w:rsidR="00A01AB9" w:rsidRPr="00512E3A">
          <w:rPr>
            <w:noProof/>
            <w:webHidden/>
          </w:rPr>
          <w:fldChar w:fldCharType="begin"/>
        </w:r>
        <w:r w:rsidR="00A01AB9" w:rsidRPr="00512E3A">
          <w:rPr>
            <w:noProof/>
            <w:webHidden/>
          </w:rPr>
          <w:instrText xml:space="preserve"> PAGEREF _Toc401575410 \h </w:instrText>
        </w:r>
        <w:r w:rsidR="00A01AB9" w:rsidRPr="00512E3A">
          <w:rPr>
            <w:noProof/>
            <w:webHidden/>
          </w:rPr>
        </w:r>
        <w:r w:rsidR="00A01AB9" w:rsidRPr="00512E3A">
          <w:rPr>
            <w:noProof/>
            <w:webHidden/>
          </w:rPr>
          <w:fldChar w:fldCharType="separate"/>
        </w:r>
        <w:r w:rsidR="00784F84" w:rsidRPr="00512E3A">
          <w:rPr>
            <w:noProof/>
            <w:webHidden/>
          </w:rPr>
          <w:t>18</w:t>
        </w:r>
        <w:r w:rsidR="00A01AB9" w:rsidRPr="00512E3A">
          <w:rPr>
            <w:noProof/>
            <w:webHidden/>
          </w:rPr>
          <w:fldChar w:fldCharType="end"/>
        </w:r>
      </w:hyperlink>
    </w:p>
    <w:p w:rsidR="00996D4C" w:rsidRDefault="00F621A5">
      <w:pPr>
        <w:rPr>
          <w:rFonts w:cs="Arial"/>
          <w:sz w:val="24"/>
          <w:szCs w:val="24"/>
        </w:rPr>
      </w:pPr>
      <w:r w:rsidRPr="00512E3A">
        <w:rPr>
          <w:rFonts w:cs="Arial"/>
          <w:sz w:val="24"/>
          <w:szCs w:val="24"/>
        </w:rPr>
        <w:fldChar w:fldCharType="end"/>
      </w:r>
    </w:p>
    <w:p w:rsidR="00996D4C" w:rsidRDefault="00996D4C">
      <w:pPr>
        <w:rPr>
          <w:rFonts w:cs="Arial"/>
          <w:sz w:val="24"/>
          <w:szCs w:val="24"/>
        </w:rPr>
      </w:pPr>
    </w:p>
    <w:p w:rsidR="00F621A5" w:rsidRDefault="00F951AA">
      <w:pPr>
        <w:rPr>
          <w:rFonts w:cs="Arial"/>
          <w:sz w:val="24"/>
          <w:szCs w:val="24"/>
        </w:rPr>
      </w:pPr>
      <w:r>
        <w:rPr>
          <w:rFonts w:cs="Arial"/>
          <w:sz w:val="24"/>
          <w:szCs w:val="24"/>
        </w:rPr>
        <w:br w:type="page"/>
      </w:r>
    </w:p>
    <w:p w:rsidR="003D0037" w:rsidRDefault="003D0037" w:rsidP="00F86F08">
      <w:pPr>
        <w:ind w:firstLine="0"/>
      </w:pPr>
    </w:p>
    <w:p w:rsidR="003D0037" w:rsidRPr="00996BF1" w:rsidRDefault="00BC2746" w:rsidP="00BC2746">
      <w:pPr>
        <w:pStyle w:val="Heading1"/>
        <w:rPr>
          <w:sz w:val="28"/>
          <w:szCs w:val="28"/>
        </w:rPr>
      </w:pPr>
      <w:bookmarkStart w:id="1" w:name="_Toc400632041"/>
      <w:bookmarkStart w:id="2" w:name="_Toc401575355"/>
      <w:r>
        <w:rPr>
          <w:sz w:val="28"/>
          <w:szCs w:val="28"/>
        </w:rPr>
        <w:t xml:space="preserve">1.0 </w:t>
      </w:r>
      <w:r w:rsidR="00855960" w:rsidRPr="00996BF1">
        <w:rPr>
          <w:sz w:val="28"/>
          <w:szCs w:val="28"/>
        </w:rPr>
        <w:t>Foreword</w:t>
      </w:r>
      <w:bookmarkEnd w:id="1"/>
      <w:bookmarkEnd w:id="2"/>
    </w:p>
    <w:p w:rsidR="00855960" w:rsidRDefault="00855960" w:rsidP="00855960"/>
    <w:p w:rsidR="001D691A" w:rsidRPr="00996BF1" w:rsidRDefault="001D691A" w:rsidP="001D691A">
      <w:pPr>
        <w:ind w:firstLine="0"/>
        <w:rPr>
          <w:sz w:val="24"/>
          <w:szCs w:val="24"/>
        </w:rPr>
      </w:pPr>
      <w:r w:rsidRPr="00996BF1">
        <w:rPr>
          <w:sz w:val="24"/>
          <w:szCs w:val="24"/>
        </w:rPr>
        <w:t>This report presents equality and diversity information for the academic year 2013</w:t>
      </w:r>
      <w:r>
        <w:rPr>
          <w:sz w:val="24"/>
          <w:szCs w:val="24"/>
        </w:rPr>
        <w:t>/</w:t>
      </w:r>
      <w:r w:rsidRPr="00996BF1">
        <w:rPr>
          <w:sz w:val="24"/>
          <w:szCs w:val="24"/>
        </w:rPr>
        <w:t>14 at the University of Cambridge.  It also highlight</w:t>
      </w:r>
      <w:r>
        <w:rPr>
          <w:sz w:val="24"/>
          <w:szCs w:val="24"/>
        </w:rPr>
        <w:t>s</w:t>
      </w:r>
      <w:r w:rsidRPr="00996BF1">
        <w:rPr>
          <w:sz w:val="24"/>
          <w:szCs w:val="24"/>
        </w:rPr>
        <w:t xml:space="preserve"> some of </w:t>
      </w:r>
      <w:r>
        <w:rPr>
          <w:sz w:val="24"/>
          <w:szCs w:val="24"/>
        </w:rPr>
        <w:t>our</w:t>
      </w:r>
      <w:r w:rsidRPr="00996BF1">
        <w:rPr>
          <w:sz w:val="24"/>
          <w:szCs w:val="24"/>
        </w:rPr>
        <w:t xml:space="preserve"> many activities and initiatives </w:t>
      </w:r>
      <w:r>
        <w:rPr>
          <w:sz w:val="24"/>
          <w:szCs w:val="24"/>
        </w:rPr>
        <w:t>which are informed by</w:t>
      </w:r>
      <w:r w:rsidRPr="00996BF1">
        <w:rPr>
          <w:sz w:val="24"/>
          <w:szCs w:val="24"/>
        </w:rPr>
        <w:t xml:space="preserve"> </w:t>
      </w:r>
      <w:r>
        <w:rPr>
          <w:sz w:val="24"/>
          <w:szCs w:val="24"/>
        </w:rPr>
        <w:t>the University’s</w:t>
      </w:r>
      <w:r w:rsidRPr="00996BF1">
        <w:rPr>
          <w:sz w:val="24"/>
          <w:szCs w:val="24"/>
        </w:rPr>
        <w:t xml:space="preserve"> </w:t>
      </w:r>
      <w:r>
        <w:rPr>
          <w:sz w:val="24"/>
          <w:szCs w:val="24"/>
        </w:rPr>
        <w:t xml:space="preserve">2012 </w:t>
      </w:r>
      <w:r w:rsidRPr="00996BF1">
        <w:rPr>
          <w:sz w:val="24"/>
          <w:szCs w:val="24"/>
        </w:rPr>
        <w:t>Equality Objectives</w:t>
      </w:r>
      <w:r>
        <w:rPr>
          <w:sz w:val="24"/>
          <w:szCs w:val="24"/>
        </w:rPr>
        <w:t xml:space="preserve"> with a view </w:t>
      </w:r>
      <w:r w:rsidRPr="00996BF1">
        <w:rPr>
          <w:sz w:val="24"/>
          <w:szCs w:val="24"/>
        </w:rPr>
        <w:t>to enhanc</w:t>
      </w:r>
      <w:r>
        <w:rPr>
          <w:sz w:val="24"/>
          <w:szCs w:val="24"/>
        </w:rPr>
        <w:t>ing</w:t>
      </w:r>
      <w:r w:rsidRPr="00996BF1">
        <w:rPr>
          <w:sz w:val="24"/>
          <w:szCs w:val="24"/>
        </w:rPr>
        <w:t xml:space="preserve"> the experience of University members </w:t>
      </w:r>
      <w:r>
        <w:rPr>
          <w:sz w:val="24"/>
          <w:szCs w:val="24"/>
        </w:rPr>
        <w:t>with</w:t>
      </w:r>
      <w:r w:rsidRPr="00996BF1">
        <w:rPr>
          <w:sz w:val="24"/>
          <w:szCs w:val="24"/>
        </w:rPr>
        <w:t xml:space="preserve"> protected characteristics.</w:t>
      </w:r>
    </w:p>
    <w:p w:rsidR="001D691A" w:rsidRPr="00996BF1" w:rsidRDefault="001D691A" w:rsidP="001D691A">
      <w:pPr>
        <w:ind w:firstLine="0"/>
        <w:rPr>
          <w:sz w:val="24"/>
          <w:szCs w:val="24"/>
        </w:rPr>
      </w:pPr>
    </w:p>
    <w:p w:rsidR="001D691A" w:rsidRPr="00996BF1" w:rsidRDefault="001D691A" w:rsidP="001D691A">
      <w:pPr>
        <w:ind w:firstLine="0"/>
        <w:rPr>
          <w:sz w:val="24"/>
          <w:szCs w:val="24"/>
        </w:rPr>
      </w:pPr>
      <w:r w:rsidRPr="00996BF1">
        <w:rPr>
          <w:sz w:val="24"/>
          <w:szCs w:val="24"/>
        </w:rPr>
        <w:t xml:space="preserve">A focus on women this year saw a dozen events aimed directly at the discussion of gender equality.  The launch of book project </w:t>
      </w:r>
      <w:r w:rsidRPr="000F3420">
        <w:rPr>
          <w:i/>
          <w:sz w:val="24"/>
          <w:szCs w:val="24"/>
        </w:rPr>
        <w:t>The Meaning of Success</w:t>
      </w:r>
      <w:r w:rsidRPr="000F3420">
        <w:rPr>
          <w:rStyle w:val="FootnoteReference"/>
        </w:rPr>
        <w:footnoteReference w:id="1"/>
      </w:r>
      <w:r w:rsidRPr="00943333">
        <w:rPr>
          <w:sz w:val="24"/>
          <w:szCs w:val="24"/>
        </w:rPr>
        <w:t xml:space="preserve"> </w:t>
      </w:r>
      <w:r w:rsidRPr="00996BF1">
        <w:rPr>
          <w:sz w:val="24"/>
          <w:szCs w:val="24"/>
        </w:rPr>
        <w:t xml:space="preserve">brought together staff from across the University </w:t>
      </w:r>
      <w:r>
        <w:rPr>
          <w:sz w:val="24"/>
          <w:szCs w:val="24"/>
        </w:rPr>
        <w:t>to nominate</w:t>
      </w:r>
      <w:r w:rsidRPr="00996BF1">
        <w:rPr>
          <w:sz w:val="24"/>
          <w:szCs w:val="24"/>
        </w:rPr>
        <w:t xml:space="preserve"> women in all staff groups whom they felt to be successful</w:t>
      </w:r>
      <w:r>
        <w:rPr>
          <w:sz w:val="24"/>
          <w:szCs w:val="24"/>
        </w:rPr>
        <w:t>.</w:t>
      </w:r>
      <w:r w:rsidRPr="00996BF1">
        <w:rPr>
          <w:sz w:val="24"/>
          <w:szCs w:val="24"/>
        </w:rPr>
        <w:t xml:space="preserve"> </w:t>
      </w:r>
      <w:r>
        <w:rPr>
          <w:sz w:val="24"/>
          <w:szCs w:val="24"/>
        </w:rPr>
        <w:t>This initiated a continuing discussion about how to</w:t>
      </w:r>
      <w:r w:rsidRPr="00996BF1">
        <w:rPr>
          <w:sz w:val="24"/>
          <w:szCs w:val="24"/>
        </w:rPr>
        <w:t xml:space="preserve"> redefin</w:t>
      </w:r>
      <w:r>
        <w:rPr>
          <w:sz w:val="24"/>
          <w:szCs w:val="24"/>
        </w:rPr>
        <w:t xml:space="preserve">e </w:t>
      </w:r>
      <w:r w:rsidRPr="00996BF1">
        <w:rPr>
          <w:sz w:val="24"/>
          <w:szCs w:val="24"/>
        </w:rPr>
        <w:t>success</w:t>
      </w:r>
      <w:r>
        <w:rPr>
          <w:sz w:val="24"/>
          <w:szCs w:val="24"/>
        </w:rPr>
        <w:t xml:space="preserve"> in</w:t>
      </w:r>
      <w:r w:rsidRPr="00996BF1">
        <w:rPr>
          <w:sz w:val="24"/>
          <w:szCs w:val="24"/>
        </w:rPr>
        <w:t xml:space="preserve"> academia.  Active participation in the Athena SWAN programme has seen an additional </w:t>
      </w:r>
      <w:r>
        <w:rPr>
          <w:sz w:val="24"/>
          <w:szCs w:val="24"/>
        </w:rPr>
        <w:t>seven</w:t>
      </w:r>
      <w:r w:rsidRPr="00996BF1">
        <w:rPr>
          <w:sz w:val="24"/>
          <w:szCs w:val="24"/>
        </w:rPr>
        <w:t xml:space="preserve"> departments receive an award</w:t>
      </w:r>
      <w:r>
        <w:rPr>
          <w:sz w:val="24"/>
          <w:szCs w:val="24"/>
        </w:rPr>
        <w:t>,</w:t>
      </w:r>
      <w:r w:rsidRPr="00996BF1">
        <w:rPr>
          <w:sz w:val="24"/>
          <w:szCs w:val="24"/>
        </w:rPr>
        <w:t xml:space="preserve"> </w:t>
      </w:r>
      <w:r>
        <w:rPr>
          <w:sz w:val="24"/>
          <w:szCs w:val="24"/>
        </w:rPr>
        <w:t>most notably</w:t>
      </w:r>
      <w:r w:rsidRPr="00996BF1">
        <w:rPr>
          <w:sz w:val="24"/>
          <w:szCs w:val="24"/>
        </w:rPr>
        <w:t xml:space="preserve"> </w:t>
      </w:r>
      <w:r>
        <w:rPr>
          <w:sz w:val="24"/>
          <w:szCs w:val="24"/>
        </w:rPr>
        <w:t>the first</w:t>
      </w:r>
      <w:r w:rsidRPr="00996BF1">
        <w:rPr>
          <w:sz w:val="24"/>
          <w:szCs w:val="24"/>
        </w:rPr>
        <w:t xml:space="preserve"> </w:t>
      </w:r>
      <w:r>
        <w:rPr>
          <w:sz w:val="24"/>
          <w:szCs w:val="24"/>
        </w:rPr>
        <w:t xml:space="preserve">ever </w:t>
      </w:r>
      <w:r w:rsidRPr="00996BF1">
        <w:rPr>
          <w:sz w:val="24"/>
          <w:szCs w:val="24"/>
        </w:rPr>
        <w:t xml:space="preserve">Gold award for </w:t>
      </w:r>
      <w:r>
        <w:rPr>
          <w:sz w:val="24"/>
          <w:szCs w:val="24"/>
        </w:rPr>
        <w:t>a</w:t>
      </w:r>
      <w:r w:rsidRPr="00996BF1">
        <w:rPr>
          <w:sz w:val="24"/>
          <w:szCs w:val="24"/>
        </w:rPr>
        <w:t xml:space="preserve"> Physics Department</w:t>
      </w:r>
      <w:r>
        <w:rPr>
          <w:sz w:val="24"/>
          <w:szCs w:val="24"/>
        </w:rPr>
        <w:t>. T</w:t>
      </w:r>
      <w:r w:rsidRPr="00996BF1">
        <w:rPr>
          <w:sz w:val="24"/>
          <w:szCs w:val="24"/>
        </w:rPr>
        <w:t>he University receiv</w:t>
      </w:r>
      <w:r>
        <w:rPr>
          <w:sz w:val="24"/>
          <w:szCs w:val="24"/>
        </w:rPr>
        <w:t>ed</w:t>
      </w:r>
      <w:r w:rsidRPr="00996BF1">
        <w:rPr>
          <w:sz w:val="24"/>
          <w:szCs w:val="24"/>
        </w:rPr>
        <w:t xml:space="preserve"> an institutional Silver Award, one of only five in the country.  University of </w:t>
      </w:r>
      <w:r w:rsidR="00F542D3">
        <w:rPr>
          <w:sz w:val="24"/>
          <w:szCs w:val="24"/>
        </w:rPr>
        <w:t>Cambridge departments now hold one Gold award</w:t>
      </w:r>
      <w:r w:rsidR="00E867D2">
        <w:rPr>
          <w:sz w:val="24"/>
          <w:szCs w:val="24"/>
        </w:rPr>
        <w:t>, one</w:t>
      </w:r>
      <w:r w:rsidR="00F542D3">
        <w:rPr>
          <w:sz w:val="24"/>
          <w:szCs w:val="24"/>
        </w:rPr>
        <w:t xml:space="preserve"> </w:t>
      </w:r>
      <w:r w:rsidRPr="00996BF1">
        <w:rPr>
          <w:sz w:val="24"/>
          <w:szCs w:val="24"/>
        </w:rPr>
        <w:t>Silver award and 11 Bronze awards covering 84% of STEMM staff (77% STEMM Departments).</w:t>
      </w:r>
    </w:p>
    <w:p w:rsidR="001D691A" w:rsidRPr="00996BF1" w:rsidRDefault="001D691A" w:rsidP="001D691A">
      <w:pPr>
        <w:ind w:firstLine="0"/>
        <w:rPr>
          <w:sz w:val="24"/>
          <w:szCs w:val="24"/>
        </w:rPr>
      </w:pPr>
    </w:p>
    <w:p w:rsidR="001D691A" w:rsidRPr="00996BF1" w:rsidRDefault="001D691A" w:rsidP="001D691A">
      <w:pPr>
        <w:ind w:firstLine="0"/>
        <w:rPr>
          <w:sz w:val="24"/>
          <w:szCs w:val="24"/>
        </w:rPr>
      </w:pPr>
      <w:r w:rsidRPr="00996BF1">
        <w:rPr>
          <w:sz w:val="24"/>
          <w:szCs w:val="24"/>
        </w:rPr>
        <w:t>The Equality and Diversity Section ha</w:t>
      </w:r>
      <w:r>
        <w:rPr>
          <w:sz w:val="24"/>
          <w:szCs w:val="24"/>
        </w:rPr>
        <w:t>s</w:t>
      </w:r>
      <w:r w:rsidRPr="00996BF1">
        <w:rPr>
          <w:sz w:val="24"/>
          <w:szCs w:val="24"/>
        </w:rPr>
        <w:t xml:space="preserve"> worked with University diversity networks, student groups and the </w:t>
      </w:r>
      <w:r>
        <w:rPr>
          <w:sz w:val="24"/>
          <w:szCs w:val="24"/>
        </w:rPr>
        <w:t xml:space="preserve">local </w:t>
      </w:r>
      <w:r w:rsidRPr="00996BF1">
        <w:rPr>
          <w:sz w:val="24"/>
          <w:szCs w:val="24"/>
        </w:rPr>
        <w:t xml:space="preserve">community to provide resources to the University and </w:t>
      </w:r>
      <w:r>
        <w:rPr>
          <w:sz w:val="24"/>
          <w:szCs w:val="24"/>
        </w:rPr>
        <w:t xml:space="preserve">the </w:t>
      </w:r>
      <w:r w:rsidRPr="00996BF1">
        <w:rPr>
          <w:sz w:val="24"/>
          <w:szCs w:val="24"/>
        </w:rPr>
        <w:t>community as a whole.  In addition to the events on gender</w:t>
      </w:r>
      <w:r>
        <w:rPr>
          <w:sz w:val="24"/>
          <w:szCs w:val="24"/>
        </w:rPr>
        <w:t>,</w:t>
      </w:r>
      <w:r w:rsidRPr="00996BF1">
        <w:rPr>
          <w:sz w:val="24"/>
          <w:szCs w:val="24"/>
        </w:rPr>
        <w:t xml:space="preserve"> the 2013/14 calendar included the Annual Race Lecture by renowned human rights solicitor Imran Khan; a theatre production for the International Day for Persons with Disabilities; an LGBT panel; a women in faith discussion; a talk on implicit bias as well as the People Matter Week 7</w:t>
      </w:r>
      <w:r w:rsidR="00CA5787">
        <w:rPr>
          <w:sz w:val="24"/>
          <w:szCs w:val="24"/>
        </w:rPr>
        <w:t>-</w:t>
      </w:r>
      <w:r w:rsidRPr="00996BF1">
        <w:rPr>
          <w:sz w:val="24"/>
          <w:szCs w:val="24"/>
        </w:rPr>
        <w:t xml:space="preserve">day series of events geared toward wellbeing.  These events create a space for discussion and awareness as well as enjoyment of the vast amount of diversity at the University.  The 2013/14 academic year saw the organisation of more than 20 </w:t>
      </w:r>
      <w:r w:rsidR="00CA5787">
        <w:rPr>
          <w:sz w:val="24"/>
          <w:szCs w:val="24"/>
        </w:rPr>
        <w:t xml:space="preserve">equality-related </w:t>
      </w:r>
      <w:r w:rsidRPr="00996BF1">
        <w:rPr>
          <w:sz w:val="24"/>
          <w:szCs w:val="24"/>
        </w:rPr>
        <w:t>events inviting more than 3,500 bookings.</w:t>
      </w:r>
    </w:p>
    <w:p w:rsidR="001D691A" w:rsidRPr="00996BF1" w:rsidRDefault="001D691A" w:rsidP="001D691A">
      <w:pPr>
        <w:ind w:firstLine="0"/>
        <w:rPr>
          <w:sz w:val="24"/>
          <w:szCs w:val="24"/>
        </w:rPr>
      </w:pPr>
    </w:p>
    <w:p w:rsidR="001D691A" w:rsidRPr="00996BF1" w:rsidRDefault="001D691A" w:rsidP="001D691A">
      <w:pPr>
        <w:ind w:firstLine="0"/>
        <w:rPr>
          <w:sz w:val="24"/>
          <w:szCs w:val="24"/>
        </w:rPr>
      </w:pPr>
      <w:r w:rsidRPr="00996BF1">
        <w:rPr>
          <w:sz w:val="24"/>
          <w:szCs w:val="24"/>
        </w:rPr>
        <w:t>The University continues to strive for excellence and the 2013/14 equality and diversity year has demonstrated the outstanding commitment of the teams and individuals involved.</w:t>
      </w:r>
      <w:r>
        <w:rPr>
          <w:sz w:val="24"/>
          <w:szCs w:val="24"/>
        </w:rPr>
        <w:t xml:space="preserve"> We begin the new Academic Year by thanking Professor Dame Athene Donald, the retiring and first Gender </w:t>
      </w:r>
      <w:r w:rsidR="00CA5787">
        <w:rPr>
          <w:sz w:val="24"/>
          <w:szCs w:val="24"/>
        </w:rPr>
        <w:t xml:space="preserve">Equality </w:t>
      </w:r>
      <w:r>
        <w:rPr>
          <w:sz w:val="24"/>
          <w:szCs w:val="24"/>
        </w:rPr>
        <w:t>Champion, for her untiring work on gender in the workplace locally, nationally and internationally</w:t>
      </w:r>
      <w:r w:rsidR="00CA5787">
        <w:rPr>
          <w:sz w:val="24"/>
          <w:szCs w:val="24"/>
        </w:rPr>
        <w:t>. W</w:t>
      </w:r>
      <w:r>
        <w:rPr>
          <w:sz w:val="24"/>
          <w:szCs w:val="24"/>
        </w:rPr>
        <w:t>e welcome a set of new Champions</w:t>
      </w:r>
      <w:r w:rsidR="00D942DE">
        <w:rPr>
          <w:rStyle w:val="FootnoteReference"/>
          <w:sz w:val="24"/>
          <w:szCs w:val="24"/>
        </w:rPr>
        <w:footnoteReference w:id="2"/>
      </w:r>
      <w:r>
        <w:rPr>
          <w:sz w:val="24"/>
          <w:szCs w:val="24"/>
        </w:rPr>
        <w:t xml:space="preserve"> who will build on her work at University and School level.</w:t>
      </w:r>
    </w:p>
    <w:p w:rsidR="001D691A" w:rsidRPr="00996BF1" w:rsidRDefault="001D691A" w:rsidP="001D691A">
      <w:pPr>
        <w:ind w:firstLine="0"/>
        <w:rPr>
          <w:sz w:val="24"/>
          <w:szCs w:val="24"/>
        </w:rPr>
      </w:pPr>
    </w:p>
    <w:p w:rsidR="001D691A" w:rsidRPr="00996BF1" w:rsidRDefault="001D691A" w:rsidP="001D691A">
      <w:pPr>
        <w:ind w:firstLine="0"/>
        <w:rPr>
          <w:sz w:val="24"/>
          <w:szCs w:val="24"/>
        </w:rPr>
      </w:pPr>
    </w:p>
    <w:p w:rsidR="001D691A" w:rsidRPr="00996BF1" w:rsidRDefault="001D691A" w:rsidP="001D691A">
      <w:pPr>
        <w:ind w:firstLine="0"/>
        <w:rPr>
          <w:sz w:val="24"/>
          <w:szCs w:val="24"/>
        </w:rPr>
      </w:pPr>
    </w:p>
    <w:p w:rsidR="001D691A" w:rsidRPr="001D691A" w:rsidRDefault="001D691A" w:rsidP="001D691A">
      <w:pPr>
        <w:ind w:firstLine="0"/>
        <w:rPr>
          <w:b/>
          <w:sz w:val="24"/>
          <w:szCs w:val="24"/>
        </w:rPr>
      </w:pPr>
      <w:r w:rsidRPr="001D691A">
        <w:rPr>
          <w:b/>
          <w:sz w:val="24"/>
          <w:szCs w:val="24"/>
        </w:rPr>
        <w:t>PROFESSOR JEREMY SANDERS CBE FRS</w:t>
      </w:r>
    </w:p>
    <w:p w:rsidR="001D691A" w:rsidRPr="001D691A" w:rsidRDefault="001D691A" w:rsidP="001D691A">
      <w:pPr>
        <w:ind w:firstLine="0"/>
        <w:rPr>
          <w:b/>
          <w:sz w:val="24"/>
          <w:szCs w:val="24"/>
        </w:rPr>
      </w:pPr>
      <w:r w:rsidRPr="001D691A">
        <w:rPr>
          <w:b/>
          <w:sz w:val="24"/>
          <w:szCs w:val="24"/>
        </w:rPr>
        <w:t>Pro-Vice-Chancellor for Institutional Affairs</w:t>
      </w:r>
    </w:p>
    <w:p w:rsidR="001D691A" w:rsidRPr="001D691A" w:rsidRDefault="001D691A" w:rsidP="001D691A">
      <w:pPr>
        <w:ind w:firstLine="0"/>
        <w:rPr>
          <w:b/>
          <w:sz w:val="24"/>
          <w:szCs w:val="24"/>
        </w:rPr>
      </w:pPr>
      <w:r w:rsidRPr="001D691A">
        <w:rPr>
          <w:b/>
          <w:sz w:val="24"/>
          <w:szCs w:val="24"/>
        </w:rPr>
        <w:t>Chair of Equality &amp; Diversity Committee</w:t>
      </w:r>
      <w:r w:rsidR="00C2712F">
        <w:rPr>
          <w:b/>
          <w:sz w:val="24"/>
          <w:szCs w:val="24"/>
        </w:rPr>
        <w:t xml:space="preserve"> and Athena SWAN Governance Panel </w:t>
      </w:r>
    </w:p>
    <w:p w:rsidR="000F291A" w:rsidRDefault="000F291A">
      <w:r>
        <w:br w:type="page"/>
      </w:r>
    </w:p>
    <w:p w:rsidR="000F291A" w:rsidRDefault="000F291A" w:rsidP="00855960">
      <w:pPr>
        <w:ind w:firstLine="0"/>
      </w:pPr>
    </w:p>
    <w:p w:rsidR="00855960" w:rsidRPr="00996BF1" w:rsidRDefault="00855960" w:rsidP="00855960">
      <w:pPr>
        <w:pStyle w:val="Heading1"/>
        <w:rPr>
          <w:sz w:val="28"/>
          <w:szCs w:val="28"/>
        </w:rPr>
      </w:pPr>
      <w:bookmarkStart w:id="3" w:name="_Toc400632042"/>
      <w:bookmarkStart w:id="4" w:name="_Toc401575356"/>
      <w:r w:rsidRPr="00996BF1">
        <w:rPr>
          <w:sz w:val="28"/>
          <w:szCs w:val="28"/>
        </w:rPr>
        <w:t>2.0 Introduction</w:t>
      </w:r>
      <w:bookmarkEnd w:id="3"/>
      <w:bookmarkEnd w:id="4"/>
    </w:p>
    <w:p w:rsidR="00855960" w:rsidRDefault="00855960" w:rsidP="00855960"/>
    <w:p w:rsidR="005E242C" w:rsidRPr="00996BF1" w:rsidRDefault="00F518BD" w:rsidP="00F518BD">
      <w:pPr>
        <w:ind w:firstLine="0"/>
        <w:rPr>
          <w:sz w:val="24"/>
          <w:szCs w:val="24"/>
        </w:rPr>
      </w:pPr>
      <w:r w:rsidRPr="00996BF1">
        <w:rPr>
          <w:sz w:val="24"/>
          <w:szCs w:val="24"/>
        </w:rPr>
        <w:t xml:space="preserve">The University </w:t>
      </w:r>
      <w:r w:rsidR="00D42520" w:rsidRPr="00996BF1">
        <w:rPr>
          <w:sz w:val="24"/>
          <w:szCs w:val="24"/>
        </w:rPr>
        <w:t>produces and publishes this report by the 31</w:t>
      </w:r>
      <w:r w:rsidR="00D42520" w:rsidRPr="00996BF1">
        <w:rPr>
          <w:sz w:val="24"/>
          <w:szCs w:val="24"/>
          <w:vertAlign w:val="superscript"/>
        </w:rPr>
        <w:t>st</w:t>
      </w:r>
      <w:r w:rsidR="00D77B45" w:rsidRPr="00996BF1">
        <w:rPr>
          <w:sz w:val="24"/>
          <w:szCs w:val="24"/>
        </w:rPr>
        <w:t xml:space="preserve"> </w:t>
      </w:r>
      <w:r w:rsidR="00D42520" w:rsidRPr="00996BF1">
        <w:rPr>
          <w:sz w:val="24"/>
          <w:szCs w:val="24"/>
        </w:rPr>
        <w:t xml:space="preserve">January each year in accordance with the Equality Act 2010 (Specific Duties).  It </w:t>
      </w:r>
      <w:r w:rsidRPr="00996BF1">
        <w:rPr>
          <w:sz w:val="24"/>
          <w:szCs w:val="24"/>
        </w:rPr>
        <w:t>is committed to engaging all of its members in promoting a positive and fully inclusive work and study environment</w:t>
      </w:r>
      <w:r w:rsidR="00D42520" w:rsidRPr="00996BF1">
        <w:rPr>
          <w:sz w:val="24"/>
          <w:szCs w:val="24"/>
        </w:rPr>
        <w:t>.  I</w:t>
      </w:r>
      <w:r w:rsidR="00D77B45" w:rsidRPr="00996BF1">
        <w:rPr>
          <w:sz w:val="24"/>
          <w:szCs w:val="24"/>
        </w:rPr>
        <w:t xml:space="preserve">n aiming to </w:t>
      </w:r>
      <w:r w:rsidR="00D42520" w:rsidRPr="00996BF1">
        <w:rPr>
          <w:sz w:val="24"/>
          <w:szCs w:val="24"/>
        </w:rPr>
        <w:t xml:space="preserve">be </w:t>
      </w:r>
      <w:r w:rsidR="00D77B45" w:rsidRPr="00996BF1">
        <w:rPr>
          <w:sz w:val="24"/>
          <w:szCs w:val="24"/>
        </w:rPr>
        <w:t xml:space="preserve">a </w:t>
      </w:r>
      <w:r w:rsidR="00D42520" w:rsidRPr="00996BF1">
        <w:rPr>
          <w:sz w:val="24"/>
          <w:szCs w:val="24"/>
        </w:rPr>
        <w:t xml:space="preserve">fair and non-discriminatory </w:t>
      </w:r>
      <w:r w:rsidR="00D77B45" w:rsidRPr="00996BF1">
        <w:rPr>
          <w:sz w:val="24"/>
          <w:szCs w:val="24"/>
        </w:rPr>
        <w:t xml:space="preserve">environment </w:t>
      </w:r>
      <w:r w:rsidR="00D42520" w:rsidRPr="00996BF1">
        <w:rPr>
          <w:sz w:val="24"/>
          <w:szCs w:val="24"/>
        </w:rPr>
        <w:t>in line with the equality legal duties which apply to the higher education sector</w:t>
      </w:r>
      <w:r w:rsidR="00C2712F">
        <w:rPr>
          <w:sz w:val="24"/>
          <w:szCs w:val="24"/>
        </w:rPr>
        <w:t>,</w:t>
      </w:r>
      <w:r w:rsidR="00D42520" w:rsidRPr="00996BF1">
        <w:rPr>
          <w:sz w:val="24"/>
          <w:szCs w:val="24"/>
        </w:rPr>
        <w:t xml:space="preserve"> </w:t>
      </w:r>
      <w:r w:rsidR="00D77B45" w:rsidRPr="00996BF1">
        <w:rPr>
          <w:sz w:val="24"/>
          <w:szCs w:val="24"/>
        </w:rPr>
        <w:t>it has committed to</w:t>
      </w:r>
      <w:r w:rsidR="00D42520" w:rsidRPr="00996BF1">
        <w:rPr>
          <w:sz w:val="24"/>
          <w:szCs w:val="24"/>
        </w:rPr>
        <w:t xml:space="preserve"> its own Equality Objectives</w:t>
      </w:r>
      <w:r w:rsidR="00D42520" w:rsidRPr="00996BF1">
        <w:rPr>
          <w:rStyle w:val="FootnoteReference"/>
          <w:sz w:val="24"/>
          <w:szCs w:val="24"/>
        </w:rPr>
        <w:footnoteReference w:id="3"/>
      </w:r>
      <w:r w:rsidR="00D77B45" w:rsidRPr="00996BF1">
        <w:rPr>
          <w:sz w:val="24"/>
          <w:szCs w:val="24"/>
        </w:rPr>
        <w:t xml:space="preserve"> which </w:t>
      </w:r>
      <w:r w:rsidR="006F3665" w:rsidRPr="00996BF1">
        <w:rPr>
          <w:sz w:val="24"/>
          <w:szCs w:val="24"/>
        </w:rPr>
        <w:t>are continually monitored</w:t>
      </w:r>
      <w:r w:rsidR="00D42520" w:rsidRPr="00996BF1">
        <w:rPr>
          <w:sz w:val="24"/>
          <w:szCs w:val="24"/>
        </w:rPr>
        <w:t>.</w:t>
      </w:r>
      <w:r w:rsidR="00D77B45" w:rsidRPr="00996BF1">
        <w:rPr>
          <w:sz w:val="24"/>
          <w:szCs w:val="24"/>
        </w:rPr>
        <w:t xml:space="preserve"> </w:t>
      </w:r>
      <w:r w:rsidR="00D42520" w:rsidRPr="00996BF1">
        <w:rPr>
          <w:sz w:val="24"/>
          <w:szCs w:val="24"/>
        </w:rPr>
        <w:t xml:space="preserve">  </w:t>
      </w:r>
    </w:p>
    <w:p w:rsidR="00D42520" w:rsidRPr="00996BF1" w:rsidRDefault="00D42520" w:rsidP="00F518BD">
      <w:pPr>
        <w:ind w:firstLine="0"/>
        <w:rPr>
          <w:sz w:val="24"/>
          <w:szCs w:val="24"/>
        </w:rPr>
      </w:pPr>
    </w:p>
    <w:p w:rsidR="00D42520" w:rsidRPr="00996BF1" w:rsidRDefault="00D42520" w:rsidP="00F518BD">
      <w:pPr>
        <w:ind w:firstLine="0"/>
        <w:rPr>
          <w:sz w:val="24"/>
          <w:szCs w:val="24"/>
        </w:rPr>
      </w:pPr>
      <w:r w:rsidRPr="00996BF1">
        <w:rPr>
          <w:sz w:val="24"/>
          <w:szCs w:val="24"/>
        </w:rPr>
        <w:t>There are several bodies across the University representing eq</w:t>
      </w:r>
      <w:r w:rsidR="00A01AB9">
        <w:rPr>
          <w:sz w:val="24"/>
          <w:szCs w:val="24"/>
        </w:rPr>
        <w:t>uality and diversity.  Figure 1</w:t>
      </w:r>
      <w:r w:rsidRPr="00996BF1">
        <w:rPr>
          <w:sz w:val="24"/>
          <w:szCs w:val="24"/>
        </w:rPr>
        <w:t xml:space="preserve"> </w:t>
      </w:r>
      <w:proofErr w:type="gramStart"/>
      <w:r w:rsidRPr="00996BF1">
        <w:rPr>
          <w:sz w:val="24"/>
          <w:szCs w:val="24"/>
        </w:rPr>
        <w:t>shows</w:t>
      </w:r>
      <w:proofErr w:type="gramEnd"/>
      <w:r w:rsidRPr="00996BF1">
        <w:rPr>
          <w:sz w:val="24"/>
          <w:szCs w:val="24"/>
        </w:rPr>
        <w:t xml:space="preserve"> the structure of these</w:t>
      </w:r>
      <w:r w:rsidR="00D77B45" w:rsidRPr="00996BF1">
        <w:rPr>
          <w:sz w:val="24"/>
          <w:szCs w:val="24"/>
        </w:rPr>
        <w:t xml:space="preserve"> committees </w:t>
      </w:r>
      <w:r w:rsidR="00C2712F">
        <w:rPr>
          <w:sz w:val="24"/>
          <w:szCs w:val="24"/>
        </w:rPr>
        <w:t xml:space="preserve">which </w:t>
      </w:r>
      <w:r w:rsidR="00D77B45" w:rsidRPr="00996BF1">
        <w:rPr>
          <w:sz w:val="24"/>
          <w:szCs w:val="24"/>
        </w:rPr>
        <w:t>develop and implement appropriate policy, recommend the provision of training and provide senior engagement in all diversity strands.  The Equality and Diversity (E&amp;D) Committee along with t</w:t>
      </w:r>
      <w:r w:rsidR="00A01AB9">
        <w:rPr>
          <w:sz w:val="24"/>
          <w:szCs w:val="24"/>
        </w:rPr>
        <w:t xml:space="preserve">he Gender Equality Group (GEG) </w:t>
      </w:r>
      <w:r w:rsidR="00D77B45" w:rsidRPr="00996BF1">
        <w:rPr>
          <w:sz w:val="24"/>
          <w:szCs w:val="24"/>
        </w:rPr>
        <w:t xml:space="preserve">monitor Key Performance Indicators (KPIs) </w:t>
      </w:r>
      <w:r w:rsidR="002A48F7">
        <w:rPr>
          <w:sz w:val="24"/>
          <w:szCs w:val="24"/>
        </w:rPr>
        <w:t xml:space="preserve">in the Equality Objectives </w:t>
      </w:r>
      <w:r w:rsidR="00D77B45" w:rsidRPr="00996BF1">
        <w:rPr>
          <w:sz w:val="24"/>
          <w:szCs w:val="24"/>
        </w:rPr>
        <w:t>across the University.</w:t>
      </w:r>
    </w:p>
    <w:p w:rsidR="00E30323" w:rsidRDefault="00E30323" w:rsidP="00855960"/>
    <w:p w:rsidR="00D77B45" w:rsidRDefault="00D42520" w:rsidP="00D77B45">
      <w:pPr>
        <w:keepNext/>
        <w:ind w:firstLine="0"/>
      </w:pPr>
      <w:r>
        <w:rPr>
          <w:noProof/>
        </w:rPr>
        <w:drawing>
          <wp:inline distT="0" distB="0" distL="0" distR="0" wp14:anchorId="7D88314B" wp14:editId="6CD816E2">
            <wp:extent cx="4972050" cy="1657350"/>
            <wp:effectExtent l="0" t="0" r="0" b="0"/>
            <wp:docPr id="3" name="Picture 3" descr="Infrastructure_2014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rastructure_2014cropp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2050" cy="1657350"/>
                    </a:xfrm>
                    <a:prstGeom prst="rect">
                      <a:avLst/>
                    </a:prstGeom>
                    <a:noFill/>
                    <a:ln>
                      <a:noFill/>
                    </a:ln>
                  </pic:spPr>
                </pic:pic>
              </a:graphicData>
            </a:graphic>
          </wp:inline>
        </w:drawing>
      </w:r>
    </w:p>
    <w:p w:rsidR="00855960" w:rsidRDefault="00D77B45" w:rsidP="00D77B45">
      <w:pPr>
        <w:pStyle w:val="Caption"/>
      </w:pPr>
      <w:bookmarkStart w:id="5" w:name="_Toc401575393"/>
      <w:r>
        <w:t xml:space="preserve">Figure </w:t>
      </w:r>
      <w:fldSimple w:instr=" SEQ Figure \* ARABIC ">
        <w:r w:rsidR="00784F84">
          <w:rPr>
            <w:noProof/>
          </w:rPr>
          <w:t>1</w:t>
        </w:r>
      </w:fldSimple>
      <w:r>
        <w:t>:  Equality and Diversity Infrastructure</w:t>
      </w:r>
      <w:bookmarkEnd w:id="5"/>
    </w:p>
    <w:p w:rsidR="006F3665" w:rsidRDefault="006F3665" w:rsidP="006F3665">
      <w:pPr>
        <w:ind w:firstLine="0"/>
        <w:rPr>
          <w:highlight w:val="yellow"/>
        </w:rPr>
      </w:pPr>
    </w:p>
    <w:p w:rsidR="00DF4D13" w:rsidRDefault="002A48F7" w:rsidP="006F3665">
      <w:pPr>
        <w:ind w:firstLine="0"/>
        <w:rPr>
          <w:sz w:val="24"/>
          <w:szCs w:val="24"/>
          <w:highlight w:val="yellow"/>
        </w:rPr>
      </w:pPr>
      <w:r>
        <w:rPr>
          <w:sz w:val="24"/>
          <w:szCs w:val="24"/>
        </w:rPr>
        <w:t>A</w:t>
      </w:r>
      <w:r w:rsidR="00DF4D13" w:rsidRPr="00DF4D13">
        <w:rPr>
          <w:sz w:val="24"/>
          <w:szCs w:val="24"/>
        </w:rPr>
        <w:t xml:space="preserve"> new online learning tool</w:t>
      </w:r>
      <w:r w:rsidR="00D942DE">
        <w:rPr>
          <w:sz w:val="24"/>
          <w:szCs w:val="24"/>
        </w:rPr>
        <w:t>,</w:t>
      </w:r>
      <w:r w:rsidR="00DF4D13" w:rsidRPr="00DF4D13">
        <w:rPr>
          <w:sz w:val="24"/>
          <w:szCs w:val="24"/>
        </w:rPr>
        <w:t xml:space="preserve"> E&amp;D</w:t>
      </w:r>
      <w:r w:rsidR="00F542D3" w:rsidRPr="00F542D3">
        <w:rPr>
          <w:sz w:val="24"/>
          <w:szCs w:val="24"/>
        </w:rPr>
        <w:t xml:space="preserve"> </w:t>
      </w:r>
      <w:r w:rsidR="00F542D3">
        <w:rPr>
          <w:sz w:val="24"/>
          <w:szCs w:val="24"/>
        </w:rPr>
        <w:t>Essentials</w:t>
      </w:r>
      <w:r w:rsidR="00F542D3">
        <w:rPr>
          <w:rStyle w:val="FootnoteReference"/>
          <w:sz w:val="24"/>
          <w:szCs w:val="24"/>
        </w:rPr>
        <w:footnoteReference w:id="4"/>
      </w:r>
      <w:r w:rsidR="00F542D3">
        <w:rPr>
          <w:sz w:val="24"/>
          <w:szCs w:val="24"/>
        </w:rPr>
        <w:t>,</w:t>
      </w:r>
      <w:r w:rsidR="00F542D3" w:rsidRPr="00DF4D13">
        <w:rPr>
          <w:sz w:val="24"/>
          <w:szCs w:val="24"/>
        </w:rPr>
        <w:t xml:space="preserve"> </w:t>
      </w:r>
      <w:r w:rsidR="00DF4D13" w:rsidRPr="00DF4D13">
        <w:rPr>
          <w:sz w:val="24"/>
          <w:szCs w:val="24"/>
        </w:rPr>
        <w:t xml:space="preserve">designed </w:t>
      </w:r>
      <w:r w:rsidR="00C2712F">
        <w:rPr>
          <w:sz w:val="24"/>
          <w:szCs w:val="24"/>
        </w:rPr>
        <w:t xml:space="preserve">in-house </w:t>
      </w:r>
      <w:r w:rsidR="00DF4D13" w:rsidRPr="00DF4D13">
        <w:rPr>
          <w:sz w:val="24"/>
          <w:szCs w:val="24"/>
        </w:rPr>
        <w:t>specifically for the academic environment</w:t>
      </w:r>
      <w:r w:rsidR="00F542D3">
        <w:rPr>
          <w:sz w:val="24"/>
          <w:szCs w:val="24"/>
        </w:rPr>
        <w:t>,</w:t>
      </w:r>
      <w:r w:rsidR="00DF4D13" w:rsidRPr="00DF4D13">
        <w:rPr>
          <w:sz w:val="24"/>
          <w:szCs w:val="24"/>
        </w:rPr>
        <w:t xml:space="preserve"> was launched in October 2013</w:t>
      </w:r>
      <w:r w:rsidR="00C2712F">
        <w:rPr>
          <w:sz w:val="24"/>
          <w:szCs w:val="24"/>
        </w:rPr>
        <w:t xml:space="preserve"> and</w:t>
      </w:r>
      <w:r w:rsidR="00A01AB9">
        <w:rPr>
          <w:sz w:val="24"/>
          <w:szCs w:val="24"/>
        </w:rPr>
        <w:t xml:space="preserve"> </w:t>
      </w:r>
      <w:r w:rsidR="00DF4D13" w:rsidRPr="00DF4D13">
        <w:rPr>
          <w:sz w:val="24"/>
          <w:szCs w:val="24"/>
        </w:rPr>
        <w:t xml:space="preserve">is now a required part of induction for all new employees and for anyone on an appointment committee.  Monitoring on general uptake is </w:t>
      </w:r>
      <w:r w:rsidR="00C2712F">
        <w:rPr>
          <w:sz w:val="24"/>
          <w:szCs w:val="24"/>
        </w:rPr>
        <w:t>regularly</w:t>
      </w:r>
      <w:r w:rsidR="00DF4D13" w:rsidRPr="00DF4D13">
        <w:rPr>
          <w:sz w:val="24"/>
          <w:szCs w:val="24"/>
        </w:rPr>
        <w:t xml:space="preserve"> undertaken</w:t>
      </w:r>
      <w:r w:rsidR="00C2712F">
        <w:rPr>
          <w:sz w:val="24"/>
          <w:szCs w:val="24"/>
        </w:rPr>
        <w:t xml:space="preserve"> and reported to </w:t>
      </w:r>
      <w:r w:rsidR="00D942DE">
        <w:rPr>
          <w:sz w:val="24"/>
          <w:szCs w:val="24"/>
        </w:rPr>
        <w:t xml:space="preserve">appropriate </w:t>
      </w:r>
      <w:r w:rsidR="00C2712F">
        <w:rPr>
          <w:sz w:val="24"/>
          <w:szCs w:val="24"/>
        </w:rPr>
        <w:t>departments and committees.</w:t>
      </w:r>
    </w:p>
    <w:p w:rsidR="00DF4D13" w:rsidRDefault="00DF4D13" w:rsidP="006F3665">
      <w:pPr>
        <w:ind w:firstLine="0"/>
        <w:rPr>
          <w:sz w:val="24"/>
          <w:szCs w:val="24"/>
          <w:highlight w:val="yellow"/>
        </w:rPr>
      </w:pPr>
    </w:p>
    <w:p w:rsidR="00D42520" w:rsidRPr="00996BF1" w:rsidRDefault="00BA2B04" w:rsidP="006F3665">
      <w:pPr>
        <w:ind w:firstLine="0"/>
        <w:rPr>
          <w:sz w:val="24"/>
          <w:szCs w:val="24"/>
        </w:rPr>
      </w:pPr>
      <w:r>
        <w:rPr>
          <w:sz w:val="24"/>
          <w:szCs w:val="24"/>
        </w:rPr>
        <w:t xml:space="preserve">Please see notes and definitions in Appendix </w:t>
      </w:r>
      <w:r w:rsidR="00B523FF">
        <w:rPr>
          <w:sz w:val="24"/>
          <w:szCs w:val="24"/>
        </w:rPr>
        <w:t xml:space="preserve">1 </w:t>
      </w:r>
      <w:r>
        <w:rPr>
          <w:sz w:val="24"/>
          <w:szCs w:val="24"/>
        </w:rPr>
        <w:t xml:space="preserve">for </w:t>
      </w:r>
      <w:r w:rsidR="00F621A5">
        <w:rPr>
          <w:sz w:val="24"/>
          <w:szCs w:val="24"/>
        </w:rPr>
        <w:t xml:space="preserve">a </w:t>
      </w:r>
      <w:r w:rsidR="00996D4C">
        <w:rPr>
          <w:sz w:val="24"/>
          <w:szCs w:val="24"/>
        </w:rPr>
        <w:t>detailed</w:t>
      </w:r>
      <w:r>
        <w:rPr>
          <w:sz w:val="24"/>
          <w:szCs w:val="24"/>
        </w:rPr>
        <w:t xml:space="preserve"> explanation of </w:t>
      </w:r>
      <w:r w:rsidR="00996D4C">
        <w:rPr>
          <w:sz w:val="24"/>
          <w:szCs w:val="24"/>
        </w:rPr>
        <w:t xml:space="preserve">the </w:t>
      </w:r>
      <w:r>
        <w:rPr>
          <w:sz w:val="24"/>
          <w:szCs w:val="24"/>
        </w:rPr>
        <w:t>data.</w:t>
      </w:r>
    </w:p>
    <w:p w:rsidR="00855960" w:rsidRPr="00996BF1" w:rsidRDefault="00855960" w:rsidP="006F3665">
      <w:pPr>
        <w:ind w:firstLine="0"/>
        <w:rPr>
          <w:sz w:val="24"/>
          <w:szCs w:val="24"/>
        </w:rPr>
      </w:pPr>
    </w:p>
    <w:p w:rsidR="00D42520" w:rsidRDefault="00D42520">
      <w:r>
        <w:br w:type="page"/>
      </w:r>
    </w:p>
    <w:p w:rsidR="00855960" w:rsidRPr="00855960" w:rsidRDefault="00855960" w:rsidP="00855960"/>
    <w:p w:rsidR="00855960" w:rsidRPr="00996BF1" w:rsidRDefault="00855960" w:rsidP="00855960">
      <w:pPr>
        <w:pStyle w:val="Heading1"/>
        <w:rPr>
          <w:sz w:val="28"/>
          <w:szCs w:val="28"/>
        </w:rPr>
      </w:pPr>
      <w:bookmarkStart w:id="6" w:name="_Toc400632043"/>
      <w:bookmarkStart w:id="7" w:name="_Toc401575357"/>
      <w:r w:rsidRPr="00996BF1">
        <w:rPr>
          <w:sz w:val="28"/>
          <w:szCs w:val="28"/>
        </w:rPr>
        <w:t>3.0 Staff</w:t>
      </w:r>
      <w:bookmarkEnd w:id="6"/>
      <w:bookmarkEnd w:id="7"/>
    </w:p>
    <w:p w:rsidR="003D0037" w:rsidRPr="00381D1B" w:rsidRDefault="003D0037" w:rsidP="00F86F08">
      <w:pPr>
        <w:pStyle w:val="Heading2"/>
        <w:rPr>
          <w:b/>
        </w:rPr>
      </w:pPr>
      <w:bookmarkStart w:id="8" w:name="_Toc400632044"/>
      <w:bookmarkStart w:id="9" w:name="_Toc401575358"/>
      <w:r w:rsidRPr="00381D1B">
        <w:rPr>
          <w:b/>
        </w:rPr>
        <w:t>3.1 Key facts and figures</w:t>
      </w:r>
      <w:bookmarkEnd w:id="8"/>
      <w:bookmarkEnd w:id="9"/>
      <w:r w:rsidRPr="00381D1B">
        <w:rPr>
          <w:b/>
        </w:rPr>
        <w:tab/>
      </w:r>
    </w:p>
    <w:p w:rsidR="003D0037" w:rsidRDefault="003D0037" w:rsidP="00F86F08">
      <w:pPr>
        <w:ind w:firstLine="0"/>
        <w:rPr>
          <w:sz w:val="24"/>
          <w:szCs w:val="24"/>
        </w:rPr>
      </w:pPr>
      <w:r w:rsidRPr="00996BF1">
        <w:rPr>
          <w:sz w:val="24"/>
          <w:szCs w:val="24"/>
        </w:rPr>
        <w:t>On the 31 July 2014, the University was comprised of 10</w:t>
      </w:r>
      <w:r w:rsidR="002A48F7">
        <w:rPr>
          <w:sz w:val="24"/>
          <w:szCs w:val="24"/>
        </w:rPr>
        <w:t>,</w:t>
      </w:r>
      <w:r w:rsidRPr="00996BF1">
        <w:rPr>
          <w:sz w:val="24"/>
          <w:szCs w:val="24"/>
        </w:rPr>
        <w:t>735 employees in four University staff groups (Table 1).</w:t>
      </w:r>
    </w:p>
    <w:p w:rsidR="004729DD" w:rsidRPr="00996BF1" w:rsidRDefault="004729DD" w:rsidP="00F86F08">
      <w:pPr>
        <w:ind w:firstLine="0"/>
        <w:rPr>
          <w:sz w:val="24"/>
          <w:szCs w:val="24"/>
        </w:rPr>
      </w:pPr>
    </w:p>
    <w:p w:rsidR="00996BF1" w:rsidRDefault="00996BF1" w:rsidP="00996BF1">
      <w:pPr>
        <w:pStyle w:val="Caption"/>
        <w:keepNext/>
      </w:pPr>
      <w:r>
        <w:t xml:space="preserve">Table </w:t>
      </w:r>
      <w:fldSimple w:instr=" SEQ Table \* ARABIC ">
        <w:r w:rsidR="00784F84">
          <w:rPr>
            <w:noProof/>
          </w:rPr>
          <w:t>1</w:t>
        </w:r>
      </w:fldSimple>
      <w:r>
        <w:t>:  Count by staff group</w:t>
      </w:r>
    </w:p>
    <w:tbl>
      <w:tblPr>
        <w:tblStyle w:val="TableGrid"/>
        <w:tblW w:w="0" w:type="auto"/>
        <w:tblLook w:val="04A0" w:firstRow="1" w:lastRow="0" w:firstColumn="1" w:lastColumn="0" w:noHBand="0" w:noVBand="1"/>
      </w:tblPr>
      <w:tblGrid>
        <w:gridCol w:w="3360"/>
        <w:gridCol w:w="3978"/>
        <w:gridCol w:w="2743"/>
      </w:tblGrid>
      <w:tr w:rsidR="00096561" w:rsidRPr="00996D4C" w:rsidTr="00996D4C">
        <w:tc>
          <w:tcPr>
            <w:tcW w:w="3360" w:type="dxa"/>
            <w:shd w:val="clear" w:color="auto" w:fill="F2F2F2" w:themeFill="background1" w:themeFillShade="F2"/>
          </w:tcPr>
          <w:p w:rsidR="00096561" w:rsidRPr="00996D4C" w:rsidRDefault="00096561" w:rsidP="00F86F08">
            <w:pPr>
              <w:ind w:firstLine="0"/>
              <w:rPr>
                <w:b/>
                <w:sz w:val="24"/>
                <w:szCs w:val="24"/>
              </w:rPr>
            </w:pPr>
            <w:r w:rsidRPr="00996D4C">
              <w:rPr>
                <w:b/>
                <w:sz w:val="24"/>
                <w:szCs w:val="24"/>
              </w:rPr>
              <w:t>Staff Group</w:t>
            </w:r>
          </w:p>
        </w:tc>
        <w:tc>
          <w:tcPr>
            <w:tcW w:w="3978" w:type="dxa"/>
            <w:shd w:val="clear" w:color="auto" w:fill="F2F2F2" w:themeFill="background1" w:themeFillShade="F2"/>
          </w:tcPr>
          <w:p w:rsidR="00096561" w:rsidRPr="00996D4C" w:rsidRDefault="00096561" w:rsidP="00F86F08">
            <w:pPr>
              <w:ind w:firstLine="0"/>
              <w:rPr>
                <w:b/>
                <w:sz w:val="24"/>
                <w:szCs w:val="24"/>
              </w:rPr>
            </w:pPr>
            <w:r w:rsidRPr="00996D4C">
              <w:rPr>
                <w:b/>
                <w:sz w:val="24"/>
                <w:szCs w:val="24"/>
              </w:rPr>
              <w:t>Number of employees (headcount)</w:t>
            </w:r>
          </w:p>
        </w:tc>
        <w:tc>
          <w:tcPr>
            <w:tcW w:w="2743" w:type="dxa"/>
            <w:shd w:val="clear" w:color="auto" w:fill="F2F2F2" w:themeFill="background1" w:themeFillShade="F2"/>
          </w:tcPr>
          <w:p w:rsidR="00096561" w:rsidRPr="00996D4C" w:rsidRDefault="00096561" w:rsidP="00F86F08">
            <w:pPr>
              <w:ind w:firstLine="0"/>
              <w:rPr>
                <w:b/>
                <w:sz w:val="24"/>
                <w:szCs w:val="24"/>
              </w:rPr>
            </w:pPr>
            <w:r w:rsidRPr="00996D4C">
              <w:rPr>
                <w:b/>
                <w:sz w:val="24"/>
                <w:szCs w:val="24"/>
              </w:rPr>
              <w:t>Percentage of employees</w:t>
            </w:r>
          </w:p>
        </w:tc>
      </w:tr>
      <w:tr w:rsidR="00096561" w:rsidRPr="00996BF1" w:rsidTr="00996D4C">
        <w:tc>
          <w:tcPr>
            <w:tcW w:w="3360" w:type="dxa"/>
          </w:tcPr>
          <w:p w:rsidR="00096561" w:rsidRPr="00996BF1" w:rsidRDefault="00096561" w:rsidP="00F86F08">
            <w:pPr>
              <w:ind w:firstLine="0"/>
              <w:rPr>
                <w:sz w:val="24"/>
                <w:szCs w:val="24"/>
              </w:rPr>
            </w:pPr>
            <w:r w:rsidRPr="00996BF1">
              <w:rPr>
                <w:sz w:val="24"/>
                <w:szCs w:val="24"/>
              </w:rPr>
              <w:t>Academic</w:t>
            </w:r>
          </w:p>
        </w:tc>
        <w:tc>
          <w:tcPr>
            <w:tcW w:w="3978" w:type="dxa"/>
          </w:tcPr>
          <w:p w:rsidR="00096561" w:rsidRPr="00996BF1" w:rsidRDefault="00096561" w:rsidP="00F86F08">
            <w:pPr>
              <w:ind w:firstLine="0"/>
              <w:rPr>
                <w:sz w:val="24"/>
                <w:szCs w:val="24"/>
              </w:rPr>
            </w:pPr>
            <w:r w:rsidRPr="00996BF1">
              <w:rPr>
                <w:sz w:val="24"/>
                <w:szCs w:val="24"/>
              </w:rPr>
              <w:t>1</w:t>
            </w:r>
            <w:r w:rsidR="002A48F7">
              <w:rPr>
                <w:sz w:val="24"/>
                <w:szCs w:val="24"/>
              </w:rPr>
              <w:t>,</w:t>
            </w:r>
            <w:r w:rsidRPr="00996BF1">
              <w:rPr>
                <w:sz w:val="24"/>
                <w:szCs w:val="24"/>
              </w:rPr>
              <w:t>720</w:t>
            </w:r>
          </w:p>
        </w:tc>
        <w:tc>
          <w:tcPr>
            <w:tcW w:w="2743" w:type="dxa"/>
          </w:tcPr>
          <w:p w:rsidR="00096561" w:rsidRPr="00996BF1" w:rsidRDefault="00096561" w:rsidP="00F86F08">
            <w:pPr>
              <w:ind w:firstLine="0"/>
              <w:rPr>
                <w:sz w:val="24"/>
                <w:szCs w:val="24"/>
              </w:rPr>
            </w:pPr>
            <w:r w:rsidRPr="00996BF1">
              <w:rPr>
                <w:sz w:val="24"/>
                <w:szCs w:val="24"/>
              </w:rPr>
              <w:t>16.0%</w:t>
            </w:r>
          </w:p>
        </w:tc>
      </w:tr>
      <w:tr w:rsidR="00096561" w:rsidRPr="00996BF1" w:rsidTr="00996D4C">
        <w:tc>
          <w:tcPr>
            <w:tcW w:w="3360" w:type="dxa"/>
          </w:tcPr>
          <w:p w:rsidR="00096561" w:rsidRPr="00996BF1" w:rsidRDefault="00096561" w:rsidP="00F86F08">
            <w:pPr>
              <w:ind w:firstLine="0"/>
              <w:rPr>
                <w:sz w:val="24"/>
                <w:szCs w:val="24"/>
              </w:rPr>
            </w:pPr>
            <w:r w:rsidRPr="00996BF1">
              <w:rPr>
                <w:sz w:val="24"/>
                <w:szCs w:val="24"/>
              </w:rPr>
              <w:t>Academic-Related</w:t>
            </w:r>
          </w:p>
        </w:tc>
        <w:tc>
          <w:tcPr>
            <w:tcW w:w="3978" w:type="dxa"/>
          </w:tcPr>
          <w:p w:rsidR="00096561" w:rsidRPr="00996BF1" w:rsidRDefault="00096561" w:rsidP="00F86F08">
            <w:pPr>
              <w:ind w:firstLine="0"/>
              <w:rPr>
                <w:sz w:val="24"/>
                <w:szCs w:val="24"/>
              </w:rPr>
            </w:pPr>
            <w:r w:rsidRPr="00996BF1">
              <w:rPr>
                <w:sz w:val="24"/>
                <w:szCs w:val="24"/>
              </w:rPr>
              <w:t>1</w:t>
            </w:r>
            <w:r w:rsidR="002A48F7">
              <w:rPr>
                <w:sz w:val="24"/>
                <w:szCs w:val="24"/>
              </w:rPr>
              <w:t>,</w:t>
            </w:r>
            <w:r w:rsidRPr="00996BF1">
              <w:rPr>
                <w:sz w:val="24"/>
                <w:szCs w:val="24"/>
              </w:rPr>
              <w:t>707</w:t>
            </w:r>
          </w:p>
        </w:tc>
        <w:tc>
          <w:tcPr>
            <w:tcW w:w="2743" w:type="dxa"/>
          </w:tcPr>
          <w:p w:rsidR="00096561" w:rsidRPr="00996BF1" w:rsidRDefault="00096561" w:rsidP="00F86F08">
            <w:pPr>
              <w:ind w:firstLine="0"/>
              <w:rPr>
                <w:sz w:val="24"/>
                <w:szCs w:val="24"/>
              </w:rPr>
            </w:pPr>
            <w:r w:rsidRPr="00996BF1">
              <w:rPr>
                <w:sz w:val="24"/>
                <w:szCs w:val="24"/>
              </w:rPr>
              <w:t>15.9%</w:t>
            </w:r>
          </w:p>
        </w:tc>
      </w:tr>
      <w:tr w:rsidR="00096561" w:rsidRPr="00996BF1" w:rsidTr="00996D4C">
        <w:tc>
          <w:tcPr>
            <w:tcW w:w="3360" w:type="dxa"/>
          </w:tcPr>
          <w:p w:rsidR="00096561" w:rsidRPr="00996BF1" w:rsidRDefault="00096561" w:rsidP="00F86F08">
            <w:pPr>
              <w:ind w:firstLine="0"/>
              <w:rPr>
                <w:sz w:val="24"/>
                <w:szCs w:val="24"/>
              </w:rPr>
            </w:pPr>
            <w:r w:rsidRPr="00996BF1">
              <w:rPr>
                <w:sz w:val="24"/>
                <w:szCs w:val="24"/>
              </w:rPr>
              <w:t>Assistant</w:t>
            </w:r>
          </w:p>
        </w:tc>
        <w:tc>
          <w:tcPr>
            <w:tcW w:w="3978" w:type="dxa"/>
          </w:tcPr>
          <w:p w:rsidR="00096561" w:rsidRPr="00996BF1" w:rsidRDefault="00096561" w:rsidP="00F86F08">
            <w:pPr>
              <w:ind w:firstLine="0"/>
              <w:rPr>
                <w:sz w:val="24"/>
                <w:szCs w:val="24"/>
              </w:rPr>
            </w:pPr>
            <w:r w:rsidRPr="00996BF1">
              <w:rPr>
                <w:sz w:val="24"/>
                <w:szCs w:val="24"/>
              </w:rPr>
              <w:t>3</w:t>
            </w:r>
            <w:r w:rsidR="002A48F7">
              <w:rPr>
                <w:sz w:val="24"/>
                <w:szCs w:val="24"/>
              </w:rPr>
              <w:t>,</w:t>
            </w:r>
            <w:r w:rsidRPr="00996BF1">
              <w:rPr>
                <w:sz w:val="24"/>
                <w:szCs w:val="24"/>
              </w:rPr>
              <w:t>572</w:t>
            </w:r>
          </w:p>
        </w:tc>
        <w:tc>
          <w:tcPr>
            <w:tcW w:w="2743" w:type="dxa"/>
          </w:tcPr>
          <w:p w:rsidR="00096561" w:rsidRPr="00996BF1" w:rsidRDefault="00096561" w:rsidP="00F86F08">
            <w:pPr>
              <w:ind w:firstLine="0"/>
              <w:rPr>
                <w:sz w:val="24"/>
                <w:szCs w:val="24"/>
              </w:rPr>
            </w:pPr>
            <w:r w:rsidRPr="00996BF1">
              <w:rPr>
                <w:sz w:val="24"/>
                <w:szCs w:val="24"/>
              </w:rPr>
              <w:t>33.3%</w:t>
            </w:r>
          </w:p>
        </w:tc>
      </w:tr>
      <w:tr w:rsidR="00096561" w:rsidRPr="00996BF1" w:rsidTr="00996D4C">
        <w:tc>
          <w:tcPr>
            <w:tcW w:w="3360" w:type="dxa"/>
          </w:tcPr>
          <w:p w:rsidR="00096561" w:rsidRPr="00996BF1" w:rsidRDefault="00096561" w:rsidP="00F86F08">
            <w:pPr>
              <w:ind w:firstLine="0"/>
              <w:rPr>
                <w:sz w:val="24"/>
                <w:szCs w:val="24"/>
              </w:rPr>
            </w:pPr>
            <w:r w:rsidRPr="00996BF1">
              <w:rPr>
                <w:sz w:val="24"/>
                <w:szCs w:val="24"/>
              </w:rPr>
              <w:t>Researcher</w:t>
            </w:r>
          </w:p>
        </w:tc>
        <w:tc>
          <w:tcPr>
            <w:tcW w:w="3978" w:type="dxa"/>
          </w:tcPr>
          <w:p w:rsidR="00096561" w:rsidRPr="00996BF1" w:rsidRDefault="00096561" w:rsidP="00F86F08">
            <w:pPr>
              <w:ind w:firstLine="0"/>
              <w:rPr>
                <w:sz w:val="24"/>
                <w:szCs w:val="24"/>
              </w:rPr>
            </w:pPr>
            <w:r w:rsidRPr="00996BF1">
              <w:rPr>
                <w:sz w:val="24"/>
                <w:szCs w:val="24"/>
              </w:rPr>
              <w:t>3</w:t>
            </w:r>
            <w:r w:rsidR="002A48F7">
              <w:rPr>
                <w:sz w:val="24"/>
                <w:szCs w:val="24"/>
              </w:rPr>
              <w:t>,</w:t>
            </w:r>
            <w:r w:rsidRPr="00996BF1">
              <w:rPr>
                <w:sz w:val="24"/>
                <w:szCs w:val="24"/>
              </w:rPr>
              <w:t>736</w:t>
            </w:r>
          </w:p>
        </w:tc>
        <w:tc>
          <w:tcPr>
            <w:tcW w:w="2743" w:type="dxa"/>
          </w:tcPr>
          <w:p w:rsidR="00096561" w:rsidRPr="00996BF1" w:rsidRDefault="00096561" w:rsidP="00F86F08">
            <w:pPr>
              <w:ind w:firstLine="0"/>
              <w:rPr>
                <w:sz w:val="24"/>
                <w:szCs w:val="24"/>
              </w:rPr>
            </w:pPr>
            <w:r w:rsidRPr="00996BF1">
              <w:rPr>
                <w:sz w:val="24"/>
                <w:szCs w:val="24"/>
              </w:rPr>
              <w:t>34.8%</w:t>
            </w:r>
          </w:p>
        </w:tc>
      </w:tr>
    </w:tbl>
    <w:p w:rsidR="003D0037" w:rsidRPr="002A48F7" w:rsidRDefault="003D0037" w:rsidP="002A48F7">
      <w:pPr>
        <w:pStyle w:val="ListParagraph"/>
        <w:numPr>
          <w:ilvl w:val="0"/>
          <w:numId w:val="18"/>
        </w:numPr>
        <w:rPr>
          <w:sz w:val="24"/>
          <w:szCs w:val="24"/>
        </w:rPr>
      </w:pPr>
      <w:r w:rsidRPr="002A48F7">
        <w:rPr>
          <w:sz w:val="24"/>
          <w:szCs w:val="24"/>
        </w:rPr>
        <w:t>The gender breakdown in the University is 49.2% (5</w:t>
      </w:r>
      <w:r w:rsidR="002A48F7" w:rsidRPr="002A48F7">
        <w:rPr>
          <w:sz w:val="24"/>
          <w:szCs w:val="24"/>
        </w:rPr>
        <w:t>,</w:t>
      </w:r>
      <w:r w:rsidRPr="002A48F7">
        <w:rPr>
          <w:sz w:val="24"/>
          <w:szCs w:val="24"/>
        </w:rPr>
        <w:t>278) female and 50.8% (5</w:t>
      </w:r>
      <w:r w:rsidR="002A48F7" w:rsidRPr="002A48F7">
        <w:rPr>
          <w:sz w:val="24"/>
          <w:szCs w:val="24"/>
        </w:rPr>
        <w:t>,</w:t>
      </w:r>
      <w:r w:rsidRPr="002A48F7">
        <w:rPr>
          <w:sz w:val="24"/>
          <w:szCs w:val="24"/>
        </w:rPr>
        <w:t>457) male.</w:t>
      </w:r>
    </w:p>
    <w:p w:rsidR="003D0037" w:rsidRPr="002A48F7" w:rsidRDefault="003D0037" w:rsidP="002A48F7">
      <w:pPr>
        <w:pStyle w:val="ListParagraph"/>
        <w:numPr>
          <w:ilvl w:val="0"/>
          <w:numId w:val="18"/>
        </w:numPr>
        <w:rPr>
          <w:sz w:val="24"/>
          <w:szCs w:val="24"/>
        </w:rPr>
      </w:pPr>
      <w:r w:rsidRPr="002A48F7">
        <w:rPr>
          <w:sz w:val="24"/>
          <w:szCs w:val="24"/>
        </w:rPr>
        <w:t>Of employees with a known disclosed ethnic background (77%), staff ethn</w:t>
      </w:r>
      <w:r w:rsidR="002A48F7" w:rsidRPr="002A48F7">
        <w:rPr>
          <w:sz w:val="24"/>
          <w:szCs w:val="24"/>
        </w:rPr>
        <w:t>icity breaks down as 11.0% Black and Minority Ethnic (BME</w:t>
      </w:r>
      <w:r w:rsidRPr="002A48F7">
        <w:rPr>
          <w:sz w:val="24"/>
          <w:szCs w:val="24"/>
        </w:rPr>
        <w:t>), 27.6% White - Other and 61.4% White - British.</w:t>
      </w:r>
    </w:p>
    <w:p w:rsidR="002A48F7" w:rsidRPr="002A48F7" w:rsidRDefault="003D0037" w:rsidP="002A48F7">
      <w:pPr>
        <w:pStyle w:val="ListParagraph"/>
        <w:numPr>
          <w:ilvl w:val="0"/>
          <w:numId w:val="18"/>
        </w:numPr>
        <w:rPr>
          <w:sz w:val="24"/>
          <w:szCs w:val="24"/>
        </w:rPr>
      </w:pPr>
      <w:r w:rsidRPr="002A48F7">
        <w:rPr>
          <w:sz w:val="24"/>
          <w:szCs w:val="24"/>
        </w:rPr>
        <w:t>14.6% (1574) of University employees responded to the question on disability</w:t>
      </w:r>
    </w:p>
    <w:p w:rsidR="003D0037" w:rsidRPr="002A48F7" w:rsidRDefault="003D0037" w:rsidP="002A48F7">
      <w:pPr>
        <w:pStyle w:val="ListParagraph"/>
        <w:numPr>
          <w:ilvl w:val="0"/>
          <w:numId w:val="18"/>
        </w:numPr>
        <w:rPr>
          <w:sz w:val="24"/>
          <w:szCs w:val="24"/>
        </w:rPr>
      </w:pPr>
      <w:r w:rsidRPr="002A48F7">
        <w:rPr>
          <w:sz w:val="24"/>
          <w:szCs w:val="24"/>
        </w:rPr>
        <w:t xml:space="preserve">2.7% (294) of all employees disclosed </w:t>
      </w:r>
      <w:r w:rsidR="002A48F7">
        <w:rPr>
          <w:sz w:val="24"/>
          <w:szCs w:val="24"/>
        </w:rPr>
        <w:t xml:space="preserve">having </w:t>
      </w:r>
      <w:r w:rsidRPr="002A48F7">
        <w:rPr>
          <w:sz w:val="24"/>
          <w:szCs w:val="24"/>
        </w:rPr>
        <w:t>a disability.  Of respondents to the question, 18.7% disclosed a disability</w:t>
      </w:r>
      <w:r w:rsidR="002A48F7">
        <w:rPr>
          <w:rStyle w:val="FootnoteReference"/>
          <w:sz w:val="24"/>
          <w:szCs w:val="24"/>
        </w:rPr>
        <w:footnoteReference w:id="5"/>
      </w:r>
      <w:r w:rsidRPr="002A48F7">
        <w:rPr>
          <w:sz w:val="24"/>
          <w:szCs w:val="24"/>
        </w:rPr>
        <w:t>.</w:t>
      </w:r>
    </w:p>
    <w:p w:rsidR="003D0037" w:rsidRDefault="003D0037" w:rsidP="00F86F08">
      <w:pPr>
        <w:ind w:firstLine="0"/>
      </w:pPr>
    </w:p>
    <w:p w:rsidR="009433A4" w:rsidRDefault="00F86F08" w:rsidP="009433A4">
      <w:pPr>
        <w:keepNext/>
        <w:ind w:firstLine="0"/>
      </w:pPr>
      <w:r>
        <w:rPr>
          <w:noProof/>
        </w:rPr>
        <w:drawing>
          <wp:inline distT="0" distB="0" distL="0" distR="0" wp14:anchorId="38F2DA0F" wp14:editId="57A431F6">
            <wp:extent cx="5414010" cy="27559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4010" cy="2755900"/>
                    </a:xfrm>
                    <a:prstGeom prst="rect">
                      <a:avLst/>
                    </a:prstGeom>
                    <a:noFill/>
                  </pic:spPr>
                </pic:pic>
              </a:graphicData>
            </a:graphic>
          </wp:inline>
        </w:drawing>
      </w:r>
    </w:p>
    <w:p w:rsidR="005317C2" w:rsidRDefault="009433A4" w:rsidP="009433A4">
      <w:pPr>
        <w:pStyle w:val="Caption"/>
      </w:pPr>
      <w:bookmarkStart w:id="10" w:name="_Toc401575394"/>
      <w:r>
        <w:t xml:space="preserve">Figure </w:t>
      </w:r>
      <w:fldSimple w:instr=" SEQ Figure \* ARABIC ">
        <w:r w:rsidR="00784F84">
          <w:rPr>
            <w:noProof/>
          </w:rPr>
          <w:t>2</w:t>
        </w:r>
      </w:fldSimple>
      <w:r>
        <w:t>: Headcount summary - Red=staff group, Blue=ethnicity, Green=gender</w:t>
      </w:r>
      <w:bookmarkEnd w:id="10"/>
    </w:p>
    <w:p w:rsidR="00AF797F" w:rsidRDefault="00AF797F" w:rsidP="00F86F08">
      <w:pPr>
        <w:ind w:firstLine="0"/>
      </w:pPr>
    </w:p>
    <w:p w:rsidR="005317C2" w:rsidRPr="00996BF1" w:rsidRDefault="0006235C" w:rsidP="00F86F08">
      <w:pPr>
        <w:ind w:firstLine="0"/>
        <w:rPr>
          <w:sz w:val="24"/>
          <w:szCs w:val="24"/>
        </w:rPr>
      </w:pPr>
      <w:r w:rsidRPr="00996BF1">
        <w:rPr>
          <w:sz w:val="24"/>
          <w:szCs w:val="24"/>
        </w:rPr>
        <w:t>The University’s new online recruitment system enables more comprehensive collection of diversity information</w:t>
      </w:r>
      <w:r w:rsidR="00C813CD">
        <w:rPr>
          <w:sz w:val="24"/>
          <w:szCs w:val="24"/>
        </w:rPr>
        <w:t xml:space="preserve"> through the Employee Self Service system (ESS)</w:t>
      </w:r>
      <w:r w:rsidRPr="00996BF1">
        <w:rPr>
          <w:rStyle w:val="FootnoteReference"/>
          <w:sz w:val="24"/>
          <w:szCs w:val="24"/>
        </w:rPr>
        <w:footnoteReference w:id="6"/>
      </w:r>
      <w:r w:rsidRPr="00996BF1">
        <w:rPr>
          <w:sz w:val="24"/>
          <w:szCs w:val="24"/>
        </w:rPr>
        <w:t xml:space="preserve"> for staff.  It is anticipated that this will increase voluntary disclosure rates for personal information.</w:t>
      </w:r>
    </w:p>
    <w:p w:rsidR="003D0037" w:rsidRPr="00381D1B" w:rsidRDefault="0019383B" w:rsidP="00F86F08">
      <w:pPr>
        <w:pStyle w:val="Heading2"/>
        <w:rPr>
          <w:b/>
        </w:rPr>
      </w:pPr>
      <w:bookmarkStart w:id="11" w:name="_Toc400632045"/>
      <w:bookmarkStart w:id="12" w:name="_Toc401575359"/>
      <w:r w:rsidRPr="00381D1B">
        <w:rPr>
          <w:b/>
        </w:rPr>
        <w:t xml:space="preserve">3.2 </w:t>
      </w:r>
      <w:r w:rsidR="003D0037" w:rsidRPr="00381D1B">
        <w:rPr>
          <w:b/>
        </w:rPr>
        <w:t>Gender</w:t>
      </w:r>
      <w:bookmarkEnd w:id="11"/>
      <w:bookmarkEnd w:id="12"/>
    </w:p>
    <w:p w:rsidR="002A48F7" w:rsidRDefault="003D0037" w:rsidP="00F86F08">
      <w:pPr>
        <w:ind w:firstLine="0"/>
        <w:rPr>
          <w:sz w:val="24"/>
          <w:szCs w:val="24"/>
        </w:rPr>
      </w:pPr>
      <w:r w:rsidRPr="00996BF1">
        <w:rPr>
          <w:sz w:val="24"/>
          <w:szCs w:val="24"/>
        </w:rPr>
        <w:lastRenderedPageBreak/>
        <w:t xml:space="preserve">The University has particularly invested in gender initiatives this year.   The launch of the book project </w:t>
      </w:r>
      <w:r w:rsidRPr="00DE242F">
        <w:rPr>
          <w:i/>
          <w:sz w:val="24"/>
          <w:szCs w:val="24"/>
        </w:rPr>
        <w:t>The Meaning of Success</w:t>
      </w:r>
      <w:r w:rsidRPr="00996BF1">
        <w:rPr>
          <w:sz w:val="24"/>
          <w:szCs w:val="24"/>
        </w:rPr>
        <w:t xml:space="preserve"> which sought submissions of stories of successful women from the whole University reached an international audience</w:t>
      </w:r>
      <w:r w:rsidR="004729DD">
        <w:rPr>
          <w:sz w:val="24"/>
          <w:szCs w:val="24"/>
        </w:rPr>
        <w:t>,</w:t>
      </w:r>
      <w:r w:rsidRPr="00996BF1">
        <w:rPr>
          <w:sz w:val="24"/>
          <w:szCs w:val="24"/>
        </w:rPr>
        <w:t xml:space="preserve"> with over 40,000 page views</w:t>
      </w:r>
      <w:r w:rsidR="002A48F7">
        <w:rPr>
          <w:sz w:val="24"/>
          <w:szCs w:val="24"/>
        </w:rPr>
        <w:t xml:space="preserve"> to the website</w:t>
      </w:r>
      <w:r w:rsidRPr="00996BF1">
        <w:rPr>
          <w:sz w:val="24"/>
          <w:szCs w:val="24"/>
        </w:rPr>
        <w:t xml:space="preserve"> in the </w:t>
      </w:r>
      <w:r w:rsidR="004729DD">
        <w:rPr>
          <w:sz w:val="24"/>
          <w:szCs w:val="24"/>
        </w:rPr>
        <w:t xml:space="preserve">first </w:t>
      </w:r>
      <w:r w:rsidRPr="00996BF1">
        <w:rPr>
          <w:sz w:val="24"/>
          <w:szCs w:val="24"/>
        </w:rPr>
        <w:t>month after launch.  The book complemented a letter</w:t>
      </w:r>
      <w:r w:rsidR="00B523FF">
        <w:rPr>
          <w:sz w:val="24"/>
          <w:szCs w:val="24"/>
        </w:rPr>
        <w:t xml:space="preserve"> (Appendix 2)</w:t>
      </w:r>
      <w:r w:rsidRPr="00996BF1">
        <w:rPr>
          <w:sz w:val="24"/>
          <w:szCs w:val="24"/>
        </w:rPr>
        <w:t xml:space="preserve"> </w:t>
      </w:r>
      <w:r w:rsidR="002A48F7">
        <w:rPr>
          <w:sz w:val="24"/>
          <w:szCs w:val="24"/>
        </w:rPr>
        <w:t xml:space="preserve">sent to the Times Higher Education which was </w:t>
      </w:r>
      <w:r w:rsidRPr="00996BF1">
        <w:rPr>
          <w:sz w:val="24"/>
          <w:szCs w:val="24"/>
        </w:rPr>
        <w:t>signed by more than 50 members of staff including hea</w:t>
      </w:r>
      <w:r w:rsidR="002A48F7">
        <w:rPr>
          <w:sz w:val="24"/>
          <w:szCs w:val="24"/>
        </w:rPr>
        <w:t>ds of colleges and departments.  The letter called</w:t>
      </w:r>
      <w:r w:rsidRPr="00996BF1">
        <w:rPr>
          <w:sz w:val="24"/>
          <w:szCs w:val="24"/>
        </w:rPr>
        <w:t xml:space="preserve"> on the sector to improve procedures so that women have a better chance of progressing to senior positions</w:t>
      </w:r>
      <w:r w:rsidR="00FB44D4">
        <w:rPr>
          <w:sz w:val="24"/>
          <w:szCs w:val="24"/>
        </w:rPr>
        <w:t xml:space="preserve"> in academia.</w:t>
      </w:r>
    </w:p>
    <w:p w:rsidR="002A48F7" w:rsidRDefault="002A48F7" w:rsidP="00F86F08">
      <w:pPr>
        <w:ind w:firstLine="0"/>
        <w:rPr>
          <w:sz w:val="24"/>
          <w:szCs w:val="24"/>
        </w:rPr>
      </w:pPr>
    </w:p>
    <w:p w:rsidR="003D0037" w:rsidRPr="00996BF1" w:rsidRDefault="003D0037" w:rsidP="00F86F08">
      <w:pPr>
        <w:ind w:firstLine="0"/>
        <w:rPr>
          <w:sz w:val="24"/>
          <w:szCs w:val="24"/>
        </w:rPr>
      </w:pPr>
      <w:r w:rsidRPr="00996BF1">
        <w:rPr>
          <w:sz w:val="24"/>
          <w:szCs w:val="24"/>
        </w:rPr>
        <w:t xml:space="preserve">The receipt of an Athena SWAN Silver </w:t>
      </w:r>
      <w:r w:rsidR="002A48F7">
        <w:rPr>
          <w:sz w:val="24"/>
          <w:szCs w:val="24"/>
        </w:rPr>
        <w:t xml:space="preserve">Institution </w:t>
      </w:r>
      <w:r w:rsidR="00FB44D4">
        <w:rPr>
          <w:sz w:val="24"/>
          <w:szCs w:val="24"/>
        </w:rPr>
        <w:t>A</w:t>
      </w:r>
      <w:r w:rsidRPr="00996BF1">
        <w:rPr>
          <w:sz w:val="24"/>
          <w:szCs w:val="24"/>
        </w:rPr>
        <w:t xml:space="preserve">ward </w:t>
      </w:r>
      <w:r w:rsidR="00FB44D4">
        <w:rPr>
          <w:sz w:val="24"/>
          <w:szCs w:val="24"/>
        </w:rPr>
        <w:t>in 2014 is</w:t>
      </w:r>
      <w:r w:rsidRPr="00996BF1">
        <w:rPr>
          <w:sz w:val="24"/>
          <w:szCs w:val="24"/>
        </w:rPr>
        <w:t xml:space="preserve"> further recognition of the work that the University has put into developing opportunities and </w:t>
      </w:r>
      <w:r w:rsidR="00FB44D4">
        <w:rPr>
          <w:sz w:val="24"/>
          <w:szCs w:val="24"/>
        </w:rPr>
        <w:t xml:space="preserve">progressing </w:t>
      </w:r>
      <w:r w:rsidRPr="00996BF1">
        <w:rPr>
          <w:sz w:val="24"/>
          <w:szCs w:val="24"/>
        </w:rPr>
        <w:t>equality for women.</w:t>
      </w:r>
    </w:p>
    <w:p w:rsidR="00EF1C67" w:rsidRPr="00996BF1" w:rsidRDefault="00EF1C67" w:rsidP="00F86F08">
      <w:pPr>
        <w:ind w:firstLine="0"/>
        <w:rPr>
          <w:sz w:val="24"/>
          <w:szCs w:val="24"/>
        </w:rPr>
      </w:pPr>
    </w:p>
    <w:p w:rsidR="00EF1C67" w:rsidRPr="00996BF1" w:rsidRDefault="00EF1C67" w:rsidP="00F86F08">
      <w:pPr>
        <w:ind w:firstLine="0"/>
        <w:rPr>
          <w:sz w:val="24"/>
          <w:szCs w:val="24"/>
        </w:rPr>
      </w:pPr>
      <w:r w:rsidRPr="00996BF1">
        <w:rPr>
          <w:sz w:val="24"/>
          <w:szCs w:val="24"/>
        </w:rPr>
        <w:t>With a population that is 49.2% (5</w:t>
      </w:r>
      <w:r w:rsidR="00F86F08" w:rsidRPr="00996BF1">
        <w:rPr>
          <w:sz w:val="24"/>
          <w:szCs w:val="24"/>
        </w:rPr>
        <w:t>,</w:t>
      </w:r>
      <w:r w:rsidRPr="00996BF1">
        <w:rPr>
          <w:sz w:val="24"/>
          <w:szCs w:val="24"/>
        </w:rPr>
        <w:t>278) female and 50.8% (5</w:t>
      </w:r>
      <w:r w:rsidR="00F86F08" w:rsidRPr="00996BF1">
        <w:rPr>
          <w:sz w:val="24"/>
          <w:szCs w:val="24"/>
        </w:rPr>
        <w:t>,</w:t>
      </w:r>
      <w:r w:rsidRPr="00996BF1">
        <w:rPr>
          <w:sz w:val="24"/>
          <w:szCs w:val="24"/>
        </w:rPr>
        <w:t>457) male staff members, this compares to a Russell Group Universities average of 52% female staff</w:t>
      </w:r>
      <w:r w:rsidR="000B2DF7">
        <w:rPr>
          <w:sz w:val="24"/>
          <w:szCs w:val="24"/>
        </w:rPr>
        <w:t xml:space="preserve"> (Figure 3)</w:t>
      </w:r>
      <w:r w:rsidRPr="00996BF1">
        <w:rPr>
          <w:sz w:val="24"/>
          <w:szCs w:val="24"/>
        </w:rPr>
        <w:t>.</w:t>
      </w:r>
    </w:p>
    <w:p w:rsidR="00EF1C67" w:rsidRDefault="00EF1C67" w:rsidP="00F86F08">
      <w:pPr>
        <w:ind w:firstLine="0"/>
      </w:pPr>
    </w:p>
    <w:p w:rsidR="009433A4" w:rsidRDefault="00EF1C67" w:rsidP="009433A4">
      <w:pPr>
        <w:keepNext/>
        <w:ind w:firstLine="0"/>
      </w:pPr>
      <w:r>
        <w:rPr>
          <w:noProof/>
        </w:rPr>
        <w:drawing>
          <wp:inline distT="0" distB="0" distL="0" distR="0" wp14:anchorId="511D9344" wp14:editId="76A77CEE">
            <wp:extent cx="5414010" cy="28898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4010" cy="2889885"/>
                    </a:xfrm>
                    <a:prstGeom prst="rect">
                      <a:avLst/>
                    </a:prstGeom>
                    <a:noFill/>
                  </pic:spPr>
                </pic:pic>
              </a:graphicData>
            </a:graphic>
          </wp:inline>
        </w:drawing>
      </w:r>
    </w:p>
    <w:p w:rsidR="00EF1C67" w:rsidRDefault="009433A4" w:rsidP="009433A4">
      <w:pPr>
        <w:pStyle w:val="Caption"/>
      </w:pPr>
      <w:bookmarkStart w:id="13" w:name="_Toc401575395"/>
      <w:r>
        <w:t xml:space="preserve">Figure </w:t>
      </w:r>
      <w:fldSimple w:instr=" SEQ Figure \* ARABIC ">
        <w:r w:rsidR="00784F84">
          <w:rPr>
            <w:noProof/>
          </w:rPr>
          <w:t>3</w:t>
        </w:r>
      </w:fldSimple>
      <w:r>
        <w:t>: Russell Group gender balance</w:t>
      </w:r>
      <w:bookmarkEnd w:id="13"/>
    </w:p>
    <w:p w:rsidR="00EF1C67" w:rsidRDefault="00EF1C67" w:rsidP="00F86F08">
      <w:pPr>
        <w:ind w:firstLine="0"/>
      </w:pPr>
    </w:p>
    <w:p w:rsidR="003D0037" w:rsidRPr="00996BF1" w:rsidRDefault="00EF1C67" w:rsidP="00F86F08">
      <w:pPr>
        <w:ind w:firstLine="0"/>
        <w:rPr>
          <w:sz w:val="24"/>
          <w:szCs w:val="24"/>
        </w:rPr>
      </w:pPr>
      <w:r w:rsidRPr="00996BF1">
        <w:rPr>
          <w:sz w:val="24"/>
          <w:szCs w:val="24"/>
        </w:rPr>
        <w:t>In focusing attention on the gender balance, t</w:t>
      </w:r>
      <w:r w:rsidR="003D0037" w:rsidRPr="00996BF1">
        <w:rPr>
          <w:sz w:val="24"/>
          <w:szCs w:val="24"/>
        </w:rPr>
        <w:t>he University works closely through several groups</w:t>
      </w:r>
      <w:r w:rsidRPr="00996BF1">
        <w:rPr>
          <w:sz w:val="24"/>
          <w:szCs w:val="24"/>
        </w:rPr>
        <w:t xml:space="preserve">, </w:t>
      </w:r>
      <w:r w:rsidR="003D0037" w:rsidRPr="00996BF1">
        <w:rPr>
          <w:sz w:val="24"/>
          <w:szCs w:val="24"/>
        </w:rPr>
        <w:t xml:space="preserve">organisations </w:t>
      </w:r>
      <w:r w:rsidRPr="00996BF1">
        <w:rPr>
          <w:sz w:val="24"/>
          <w:szCs w:val="24"/>
        </w:rPr>
        <w:t xml:space="preserve">and initiatives </w:t>
      </w:r>
      <w:r w:rsidR="003D0037" w:rsidRPr="00996BF1">
        <w:rPr>
          <w:sz w:val="24"/>
          <w:szCs w:val="24"/>
        </w:rPr>
        <w:t>to maintain its gender focus.</w:t>
      </w:r>
    </w:p>
    <w:p w:rsidR="00EF1C67" w:rsidRDefault="00EF1C67" w:rsidP="00F86F08">
      <w:pPr>
        <w:ind w:firstLine="0"/>
      </w:pPr>
    </w:p>
    <w:p w:rsidR="003D0037" w:rsidRDefault="003D0037" w:rsidP="00F86F08">
      <w:pPr>
        <w:ind w:firstLine="0"/>
      </w:pPr>
    </w:p>
    <w:p w:rsidR="003D0037" w:rsidRPr="00381D1B" w:rsidRDefault="003D0037" w:rsidP="00F86F08">
      <w:pPr>
        <w:pStyle w:val="Heading3"/>
        <w:rPr>
          <w:color w:val="365F91" w:themeColor="accent1" w:themeShade="BF"/>
        </w:rPr>
      </w:pPr>
      <w:bookmarkStart w:id="14" w:name="_Toc400632046"/>
      <w:bookmarkStart w:id="15" w:name="_Toc401575360"/>
      <w:r w:rsidRPr="00381D1B">
        <w:rPr>
          <w:color w:val="365F91" w:themeColor="accent1" w:themeShade="BF"/>
        </w:rPr>
        <w:t>3</w:t>
      </w:r>
      <w:r w:rsidR="009778A1" w:rsidRPr="00381D1B">
        <w:rPr>
          <w:color w:val="365F91" w:themeColor="accent1" w:themeShade="BF"/>
        </w:rPr>
        <w:t>.2.1 G</w:t>
      </w:r>
      <w:r w:rsidRPr="00381D1B">
        <w:rPr>
          <w:color w:val="365F91" w:themeColor="accent1" w:themeShade="BF"/>
        </w:rPr>
        <w:t>roups and initiatives</w:t>
      </w:r>
      <w:bookmarkEnd w:id="14"/>
      <w:bookmarkEnd w:id="15"/>
    </w:p>
    <w:p w:rsidR="003D0037" w:rsidRPr="00996BF1" w:rsidRDefault="003D0037" w:rsidP="00F86F08">
      <w:pPr>
        <w:ind w:firstLine="0"/>
        <w:rPr>
          <w:sz w:val="24"/>
          <w:szCs w:val="24"/>
          <w:u w:val="single"/>
        </w:rPr>
      </w:pPr>
      <w:r w:rsidRPr="00996BF1">
        <w:rPr>
          <w:sz w:val="24"/>
          <w:szCs w:val="24"/>
          <w:u w:val="single"/>
        </w:rPr>
        <w:t>Gender Action Plan (GAP)</w:t>
      </w:r>
      <w:r w:rsidR="00F86F08" w:rsidRPr="00996BF1">
        <w:rPr>
          <w:rStyle w:val="FootnoteReference"/>
          <w:sz w:val="24"/>
          <w:szCs w:val="24"/>
          <w:u w:val="single"/>
        </w:rPr>
        <w:footnoteReference w:id="7"/>
      </w:r>
    </w:p>
    <w:p w:rsidR="003D0037" w:rsidRPr="00996BF1" w:rsidRDefault="003D0037" w:rsidP="00F86F08">
      <w:pPr>
        <w:ind w:firstLine="0"/>
        <w:rPr>
          <w:sz w:val="24"/>
          <w:szCs w:val="24"/>
        </w:rPr>
      </w:pPr>
      <w:r w:rsidRPr="00996BF1">
        <w:rPr>
          <w:sz w:val="24"/>
          <w:szCs w:val="24"/>
        </w:rPr>
        <w:t>The GAP brings together all of the University’s gender initiatives and provides a road map for the different University bodies to follow the progress being made.</w:t>
      </w:r>
    </w:p>
    <w:p w:rsidR="003D0037" w:rsidRPr="00996BF1" w:rsidRDefault="003D0037" w:rsidP="00F86F08">
      <w:pPr>
        <w:ind w:firstLine="0"/>
        <w:rPr>
          <w:sz w:val="24"/>
          <w:szCs w:val="24"/>
        </w:rPr>
      </w:pPr>
    </w:p>
    <w:p w:rsidR="003D0037" w:rsidRPr="00996BF1" w:rsidRDefault="003D0037" w:rsidP="00F86F08">
      <w:pPr>
        <w:ind w:firstLine="0"/>
        <w:rPr>
          <w:sz w:val="24"/>
          <w:szCs w:val="24"/>
          <w:u w:val="single"/>
        </w:rPr>
      </w:pPr>
      <w:r w:rsidRPr="00996BF1">
        <w:rPr>
          <w:sz w:val="24"/>
          <w:szCs w:val="24"/>
          <w:u w:val="single"/>
        </w:rPr>
        <w:t>Women’s Staff Network (WSN)</w:t>
      </w:r>
      <w:r w:rsidR="001E7B92" w:rsidRPr="00996BF1">
        <w:rPr>
          <w:rStyle w:val="FootnoteReference"/>
          <w:sz w:val="24"/>
          <w:szCs w:val="24"/>
          <w:u w:val="single"/>
        </w:rPr>
        <w:footnoteReference w:id="8"/>
      </w:r>
    </w:p>
    <w:p w:rsidR="003D0037" w:rsidRPr="00996BF1" w:rsidRDefault="003D0037" w:rsidP="00F86F08">
      <w:pPr>
        <w:ind w:firstLine="0"/>
        <w:rPr>
          <w:sz w:val="24"/>
          <w:szCs w:val="24"/>
        </w:rPr>
      </w:pPr>
      <w:r w:rsidRPr="00996BF1">
        <w:rPr>
          <w:sz w:val="24"/>
          <w:szCs w:val="24"/>
        </w:rPr>
        <w:t>The WSN focuses on progressing the University’s gender objectives by directly engaging with staff</w:t>
      </w:r>
      <w:r w:rsidR="00B523FF">
        <w:rPr>
          <w:sz w:val="24"/>
          <w:szCs w:val="24"/>
        </w:rPr>
        <w:t xml:space="preserve"> to enable women to inform governance and University policy</w:t>
      </w:r>
      <w:r w:rsidRPr="00996BF1">
        <w:rPr>
          <w:sz w:val="24"/>
          <w:szCs w:val="24"/>
        </w:rPr>
        <w:t>.  There was a very successful release of a WSN bulletin discussing some of the initiatives for the year</w:t>
      </w:r>
      <w:r w:rsidR="00B523FF">
        <w:rPr>
          <w:sz w:val="24"/>
          <w:szCs w:val="24"/>
        </w:rPr>
        <w:t xml:space="preserve"> which included</w:t>
      </w:r>
      <w:r w:rsidRPr="00996BF1">
        <w:rPr>
          <w:sz w:val="24"/>
          <w:szCs w:val="24"/>
        </w:rPr>
        <w:t xml:space="preserve"> events such as the launch </w:t>
      </w:r>
      <w:r w:rsidRPr="00996BF1">
        <w:rPr>
          <w:sz w:val="24"/>
          <w:szCs w:val="24"/>
        </w:rPr>
        <w:lastRenderedPageBreak/>
        <w:t xml:space="preserve">of </w:t>
      </w:r>
      <w:r w:rsidRPr="000B4E69">
        <w:rPr>
          <w:i/>
          <w:sz w:val="24"/>
          <w:szCs w:val="24"/>
        </w:rPr>
        <w:t>The Meaning of Success</w:t>
      </w:r>
      <w:r w:rsidRPr="00996BF1">
        <w:rPr>
          <w:sz w:val="24"/>
          <w:szCs w:val="24"/>
        </w:rPr>
        <w:t xml:space="preserve"> for International Women’s Day</w:t>
      </w:r>
      <w:r w:rsidR="00FB44D4">
        <w:rPr>
          <w:sz w:val="24"/>
          <w:szCs w:val="24"/>
        </w:rPr>
        <w:t xml:space="preserve"> 2014</w:t>
      </w:r>
      <w:r w:rsidRPr="00996BF1">
        <w:rPr>
          <w:sz w:val="24"/>
          <w:szCs w:val="24"/>
        </w:rPr>
        <w:t xml:space="preserve">, Making Your Voice Heard, </w:t>
      </w:r>
      <w:r w:rsidR="000F245F">
        <w:rPr>
          <w:sz w:val="24"/>
          <w:szCs w:val="24"/>
        </w:rPr>
        <w:t xml:space="preserve">Aurora - women in Leadership programme </w:t>
      </w:r>
      <w:r w:rsidRPr="00996BF1">
        <w:rPr>
          <w:sz w:val="24"/>
          <w:szCs w:val="24"/>
        </w:rPr>
        <w:t>and the New Perspectives series.</w:t>
      </w:r>
      <w:r w:rsidR="007025AD" w:rsidRPr="00996BF1">
        <w:rPr>
          <w:sz w:val="24"/>
          <w:szCs w:val="24"/>
        </w:rPr>
        <w:t xml:space="preserve"> </w:t>
      </w:r>
    </w:p>
    <w:p w:rsidR="003D0037" w:rsidRPr="00996BF1" w:rsidRDefault="003D0037" w:rsidP="00F86F08">
      <w:pPr>
        <w:ind w:firstLine="0"/>
        <w:rPr>
          <w:sz w:val="24"/>
          <w:szCs w:val="24"/>
        </w:rPr>
      </w:pPr>
    </w:p>
    <w:p w:rsidR="003D0037" w:rsidRPr="00996BF1" w:rsidRDefault="003D0037" w:rsidP="00F86F08">
      <w:pPr>
        <w:ind w:firstLine="0"/>
        <w:rPr>
          <w:sz w:val="24"/>
          <w:szCs w:val="24"/>
          <w:u w:val="single"/>
        </w:rPr>
      </w:pPr>
      <w:r w:rsidRPr="00996BF1">
        <w:rPr>
          <w:sz w:val="24"/>
          <w:szCs w:val="24"/>
          <w:u w:val="single"/>
        </w:rPr>
        <w:t>Senior Gender Equality Network (SGEN)</w:t>
      </w:r>
      <w:r w:rsidR="002403C1" w:rsidRPr="00996BF1">
        <w:rPr>
          <w:rStyle w:val="FootnoteReference"/>
          <w:sz w:val="24"/>
          <w:szCs w:val="24"/>
          <w:u w:val="single"/>
        </w:rPr>
        <w:footnoteReference w:id="9"/>
      </w:r>
      <w:r w:rsidRPr="00996BF1">
        <w:rPr>
          <w:sz w:val="24"/>
          <w:szCs w:val="24"/>
          <w:u w:val="single"/>
        </w:rPr>
        <w:t xml:space="preserve"> </w:t>
      </w:r>
      <w:r w:rsidR="00677BD8">
        <w:rPr>
          <w:noProof/>
        </w:rPr>
        <mc:AlternateContent>
          <mc:Choice Requires="wps">
            <w:drawing>
              <wp:anchor distT="0" distB="0" distL="114300" distR="114300" simplePos="0" relativeHeight="251662336" behindDoc="0" locked="0" layoutInCell="1" allowOverlap="1" wp14:anchorId="12709F83" wp14:editId="05A43165">
                <wp:simplePos x="0" y="0"/>
                <wp:positionH relativeFrom="column">
                  <wp:posOffset>5064125</wp:posOffset>
                </wp:positionH>
                <wp:positionV relativeFrom="paragraph">
                  <wp:posOffset>2324100</wp:posOffset>
                </wp:positionV>
                <wp:extent cx="119126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191260" cy="635"/>
                        </a:xfrm>
                        <a:prstGeom prst="rect">
                          <a:avLst/>
                        </a:prstGeom>
                        <a:solidFill>
                          <a:prstClr val="white"/>
                        </a:solidFill>
                        <a:ln>
                          <a:noFill/>
                        </a:ln>
                        <a:effectLst/>
                      </wps:spPr>
                      <wps:txbx>
                        <w:txbxContent>
                          <w:p w:rsidR="00F542D3" w:rsidRPr="00CC1549" w:rsidRDefault="00F542D3" w:rsidP="00677BD8">
                            <w:pPr>
                              <w:pStyle w:val="Caption"/>
                              <w:ind w:firstLine="0"/>
                              <w:rPr>
                                <w:sz w:val="24"/>
                                <w:szCs w:val="24"/>
                                <w:u w:val="single"/>
                              </w:rPr>
                            </w:pPr>
                            <w:bookmarkStart w:id="16" w:name="_Toc401575396"/>
                            <w:r>
                              <w:t xml:space="preserve">Figure </w:t>
                            </w:r>
                            <w:fldSimple w:instr=" SEQ Figure \* ARABIC ">
                              <w:r>
                                <w:rPr>
                                  <w:noProof/>
                                </w:rPr>
                                <w:t>4</w:t>
                              </w:r>
                            </w:fldSimple>
                            <w:r>
                              <w:t>: Anna Watkins (top), Alison Saunders (bottom)</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98.75pt;margin-top:183pt;width:93.8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" stroked="f">
                <v:textbox style="mso-fit-shape-to-text:t" inset="0,0,0,0">
                  <w:txbxContent>
                    <w:p w:rsidR="00F542D3" w:rsidRPr="00CC1549" w:rsidRDefault="00F542D3" w:rsidP="00677BD8">
                      <w:pPr>
                        <w:pStyle w:val="Caption"/>
                        <w:ind w:firstLine="0"/>
                        <w:rPr>
                          <w:sz w:val="24"/>
                          <w:szCs w:val="24"/>
                          <w:u w:val="single"/>
                        </w:rPr>
                      </w:pPr>
                      <w:bookmarkStart w:id="16" w:name="_Toc401575396"/>
                      <w:r>
                        <w:t xml:space="preserve">Figure </w:t>
                      </w:r>
                      <w:fldSimple w:instr=" SEQ Figure \* ARABIC ">
                        <w:r>
                          <w:rPr>
                            <w:noProof/>
                          </w:rPr>
                          <w:t>4</w:t>
                        </w:r>
                      </w:fldSimple>
                      <w:r>
                        <w:t>: Anna Watkins (top), Alison Saunders (bottom)</w:t>
                      </w:r>
                      <w:bookmarkEnd w:id="16"/>
                    </w:p>
                  </w:txbxContent>
                </v:textbox>
                <w10:wrap type="square"/>
              </v:shape>
            </w:pict>
          </mc:Fallback>
        </mc:AlternateContent>
      </w:r>
      <w:r w:rsidR="00677BD8">
        <w:rPr>
          <w:noProof/>
          <w:sz w:val="24"/>
          <w:szCs w:val="24"/>
          <w:u w:val="single"/>
        </w:rPr>
        <w:drawing>
          <wp:anchor distT="0" distB="0" distL="114300" distR="114300" simplePos="0" relativeHeight="251660288" behindDoc="0" locked="0" layoutInCell="1" allowOverlap="1" wp14:anchorId="0707AA24" wp14:editId="4C16CE44">
            <wp:simplePos x="0" y="0"/>
            <wp:positionH relativeFrom="margin">
              <wp:align>right</wp:align>
            </wp:positionH>
            <wp:positionV relativeFrom="paragraph">
              <wp:posOffset>-635</wp:posOffset>
            </wp:positionV>
            <wp:extent cx="1191260" cy="226758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ofgender.jpg"/>
                    <pic:cNvPicPr/>
                  </pic:nvPicPr>
                  <pic:blipFill>
                    <a:blip r:embed="rId17">
                      <a:extLst>
                        <a:ext uri="{28A0092B-C50C-407E-A947-70E740481C1C}">
                          <a14:useLocalDpi xmlns:a14="http://schemas.microsoft.com/office/drawing/2010/main" val="0"/>
                        </a:ext>
                      </a:extLst>
                    </a:blip>
                    <a:stretch>
                      <a:fillRect/>
                    </a:stretch>
                  </pic:blipFill>
                  <pic:spPr>
                    <a:xfrm>
                      <a:off x="0" y="0"/>
                      <a:ext cx="1191260" cy="2267585"/>
                    </a:xfrm>
                    <a:prstGeom prst="rect">
                      <a:avLst/>
                    </a:prstGeom>
                  </pic:spPr>
                </pic:pic>
              </a:graphicData>
            </a:graphic>
            <wp14:sizeRelH relativeFrom="page">
              <wp14:pctWidth>0</wp14:pctWidth>
            </wp14:sizeRelH>
            <wp14:sizeRelV relativeFrom="page">
              <wp14:pctHeight>0</wp14:pctHeight>
            </wp14:sizeRelV>
          </wp:anchor>
        </w:drawing>
      </w:r>
    </w:p>
    <w:p w:rsidR="003D0037" w:rsidRDefault="003D0037" w:rsidP="00F86F08">
      <w:pPr>
        <w:ind w:firstLine="0"/>
        <w:rPr>
          <w:sz w:val="24"/>
          <w:szCs w:val="24"/>
        </w:rPr>
      </w:pPr>
      <w:r w:rsidRPr="00996BF1">
        <w:rPr>
          <w:sz w:val="24"/>
          <w:szCs w:val="24"/>
        </w:rPr>
        <w:t>SGEN members are senior members of the University</w:t>
      </w:r>
      <w:r w:rsidR="00192EC8" w:rsidRPr="00996BF1">
        <w:rPr>
          <w:sz w:val="24"/>
          <w:szCs w:val="24"/>
        </w:rPr>
        <w:t xml:space="preserve"> </w:t>
      </w:r>
      <w:r w:rsidRPr="00996BF1">
        <w:rPr>
          <w:sz w:val="24"/>
          <w:szCs w:val="24"/>
        </w:rPr>
        <w:t>who seek to progress actions in the GAP by sharing best practice, advising departments and tracking progress.</w:t>
      </w:r>
      <w:r w:rsidR="00200E2E" w:rsidRPr="00996BF1">
        <w:rPr>
          <w:sz w:val="24"/>
          <w:szCs w:val="24"/>
        </w:rPr>
        <w:t xml:space="preserve">  On 19</w:t>
      </w:r>
      <w:r w:rsidR="00200E2E" w:rsidRPr="00996BF1">
        <w:rPr>
          <w:sz w:val="24"/>
          <w:szCs w:val="24"/>
          <w:vertAlign w:val="superscript"/>
        </w:rPr>
        <w:t>th</w:t>
      </w:r>
      <w:r w:rsidR="00200E2E" w:rsidRPr="00996BF1">
        <w:rPr>
          <w:sz w:val="24"/>
          <w:szCs w:val="24"/>
        </w:rPr>
        <w:t xml:space="preserve"> June 2014, the SGEN hosted “The Impact of Gender” with Olympic Gold medallist, Anna Watkins </w:t>
      </w:r>
      <w:r w:rsidR="00F87649">
        <w:rPr>
          <w:sz w:val="24"/>
          <w:szCs w:val="24"/>
        </w:rPr>
        <w:t xml:space="preserve">MBE </w:t>
      </w:r>
      <w:r w:rsidR="00200E2E" w:rsidRPr="00996BF1">
        <w:rPr>
          <w:sz w:val="24"/>
          <w:szCs w:val="24"/>
        </w:rPr>
        <w:t>and Alison Saunders CB, Director of Public Prosecutions</w:t>
      </w:r>
      <w:r w:rsidR="002A48F7" w:rsidRPr="002A48F7">
        <w:rPr>
          <w:sz w:val="24"/>
          <w:szCs w:val="24"/>
        </w:rPr>
        <w:t xml:space="preserve"> </w:t>
      </w:r>
      <w:r w:rsidR="000B2DF7">
        <w:rPr>
          <w:sz w:val="24"/>
          <w:szCs w:val="24"/>
        </w:rPr>
        <w:t>(Figure 4)</w:t>
      </w:r>
      <w:r w:rsidR="00F87649">
        <w:rPr>
          <w:sz w:val="24"/>
          <w:szCs w:val="24"/>
        </w:rPr>
        <w:t>; this high profile event</w:t>
      </w:r>
      <w:r w:rsidR="00EA5119">
        <w:rPr>
          <w:sz w:val="24"/>
          <w:szCs w:val="24"/>
        </w:rPr>
        <w:t xml:space="preserve"> </w:t>
      </w:r>
      <w:r w:rsidR="002A48F7" w:rsidRPr="00996BF1">
        <w:rPr>
          <w:sz w:val="24"/>
          <w:szCs w:val="24"/>
        </w:rPr>
        <w:t>had over 180 attendees</w:t>
      </w:r>
      <w:r w:rsidR="00200E2E" w:rsidRPr="00996BF1">
        <w:rPr>
          <w:sz w:val="24"/>
          <w:szCs w:val="24"/>
        </w:rPr>
        <w:t>.</w:t>
      </w:r>
    </w:p>
    <w:p w:rsidR="003D0037" w:rsidRPr="00996BF1" w:rsidRDefault="003D0037" w:rsidP="00F86F08">
      <w:pPr>
        <w:ind w:firstLine="0"/>
        <w:rPr>
          <w:sz w:val="24"/>
          <w:szCs w:val="24"/>
        </w:rPr>
      </w:pPr>
    </w:p>
    <w:p w:rsidR="003D0037" w:rsidRPr="00996BF1" w:rsidRDefault="003D0037" w:rsidP="00F86F08">
      <w:pPr>
        <w:ind w:firstLine="0"/>
        <w:rPr>
          <w:sz w:val="24"/>
          <w:szCs w:val="24"/>
          <w:u w:val="single"/>
        </w:rPr>
      </w:pPr>
      <w:r w:rsidRPr="00996BF1">
        <w:rPr>
          <w:sz w:val="24"/>
          <w:szCs w:val="24"/>
          <w:u w:val="single"/>
        </w:rPr>
        <w:t>Gender Equality Group (GEG)</w:t>
      </w:r>
      <w:r w:rsidR="007941C8" w:rsidRPr="00996BF1">
        <w:rPr>
          <w:rStyle w:val="FootnoteReference"/>
          <w:sz w:val="24"/>
          <w:szCs w:val="24"/>
          <w:u w:val="single"/>
        </w:rPr>
        <w:footnoteReference w:id="10"/>
      </w:r>
    </w:p>
    <w:p w:rsidR="003D0037" w:rsidRPr="00996BF1" w:rsidRDefault="003D0037" w:rsidP="00F86F08">
      <w:pPr>
        <w:ind w:firstLine="0"/>
        <w:rPr>
          <w:sz w:val="24"/>
          <w:szCs w:val="24"/>
        </w:rPr>
      </w:pPr>
      <w:r w:rsidRPr="00996BF1">
        <w:rPr>
          <w:sz w:val="24"/>
          <w:szCs w:val="24"/>
        </w:rPr>
        <w:t xml:space="preserve">GEG was founded in 2010 as a permanent University committee </w:t>
      </w:r>
      <w:proofErr w:type="gramStart"/>
      <w:r w:rsidRPr="00996BF1">
        <w:rPr>
          <w:sz w:val="24"/>
          <w:szCs w:val="24"/>
        </w:rPr>
        <w:t>to  make</w:t>
      </w:r>
      <w:proofErr w:type="gramEnd"/>
      <w:r w:rsidRPr="00996BF1">
        <w:rPr>
          <w:sz w:val="24"/>
          <w:szCs w:val="24"/>
        </w:rPr>
        <w:t xml:space="preserve"> recommendations on how to improve gender equality at the University.  It is chaired by the Gender Equality Champion and reports directly to the HR committee.  Some of GEG</w:t>
      </w:r>
      <w:r w:rsidR="00835550">
        <w:rPr>
          <w:sz w:val="24"/>
          <w:szCs w:val="24"/>
        </w:rPr>
        <w:t>’</w:t>
      </w:r>
      <w:r w:rsidRPr="00996BF1">
        <w:rPr>
          <w:sz w:val="24"/>
          <w:szCs w:val="24"/>
        </w:rPr>
        <w:t xml:space="preserve">s initiatives have included </w:t>
      </w:r>
      <w:r w:rsidR="000F245F">
        <w:rPr>
          <w:sz w:val="24"/>
          <w:szCs w:val="24"/>
        </w:rPr>
        <w:t xml:space="preserve">improving the environment for parents and carers, equal pay, mentoring and improving progression rates for women.  </w:t>
      </w:r>
    </w:p>
    <w:p w:rsidR="003D0037" w:rsidRPr="00996BF1" w:rsidRDefault="003D0037" w:rsidP="00F86F08">
      <w:pPr>
        <w:ind w:firstLine="0"/>
        <w:rPr>
          <w:sz w:val="24"/>
          <w:szCs w:val="24"/>
        </w:rPr>
      </w:pPr>
    </w:p>
    <w:p w:rsidR="003D0037" w:rsidRPr="00996BF1" w:rsidRDefault="00A93B1C" w:rsidP="00F86F08">
      <w:pPr>
        <w:ind w:firstLine="0"/>
        <w:rPr>
          <w:sz w:val="24"/>
          <w:szCs w:val="24"/>
          <w:u w:val="single"/>
        </w:rPr>
      </w:pPr>
      <w:r>
        <w:rPr>
          <w:noProof/>
        </w:rPr>
        <mc:AlternateContent>
          <mc:Choice Requires="wps">
            <w:drawing>
              <wp:anchor distT="0" distB="0" distL="114300" distR="114300" simplePos="0" relativeHeight="251665408" behindDoc="0" locked="0" layoutInCell="1" allowOverlap="1" wp14:anchorId="21F3E078" wp14:editId="23F7264D">
                <wp:simplePos x="0" y="0"/>
                <wp:positionH relativeFrom="column">
                  <wp:posOffset>3810</wp:posOffset>
                </wp:positionH>
                <wp:positionV relativeFrom="paragraph">
                  <wp:posOffset>2219960</wp:posOffset>
                </wp:positionV>
                <wp:extent cx="2430145" cy="635"/>
                <wp:effectExtent l="0" t="0" r="0" b="0"/>
                <wp:wrapTight wrapText="bothSides">
                  <wp:wrapPolygon edited="0">
                    <wp:start x="0" y="0"/>
                    <wp:lineTo x="0" y="21600"/>
                    <wp:lineTo x="21600" y="21600"/>
                    <wp:lineTo x="21600" y="0"/>
                  </wp:wrapPolygon>
                </wp:wrapTight>
                <wp:docPr id="19" name="Text Box 19"/>
                <wp:cNvGraphicFramePr/>
                <a:graphic xmlns:a="http://schemas.openxmlformats.org/drawingml/2006/main">
                  <a:graphicData uri="http://schemas.microsoft.com/office/word/2010/wordprocessingShape">
                    <wps:wsp>
                      <wps:cNvSpPr txBox="1"/>
                      <wps:spPr>
                        <a:xfrm>
                          <a:off x="0" y="0"/>
                          <a:ext cx="2430145" cy="635"/>
                        </a:xfrm>
                        <a:prstGeom prst="rect">
                          <a:avLst/>
                        </a:prstGeom>
                        <a:solidFill>
                          <a:prstClr val="white"/>
                        </a:solidFill>
                        <a:ln>
                          <a:noFill/>
                        </a:ln>
                        <a:effectLst/>
                      </wps:spPr>
                      <wps:txbx>
                        <w:txbxContent>
                          <w:p w:rsidR="00F542D3" w:rsidRDefault="00F542D3" w:rsidP="00A93B1C">
                            <w:pPr>
                              <w:pStyle w:val="Caption"/>
                              <w:rPr>
                                <w:noProof/>
                              </w:rPr>
                            </w:pPr>
                            <w:bookmarkStart w:id="17" w:name="_Toc401575397"/>
                            <w:r>
                              <w:t xml:space="preserve">Figure </w:t>
                            </w:r>
                            <w:fldSimple w:instr=" SEQ Figure \* ARABIC ">
                              <w:r>
                                <w:rPr>
                                  <w:noProof/>
                                </w:rPr>
                                <w:t>5</w:t>
                              </w:r>
                            </w:fldSimple>
                            <w:r>
                              <w:t xml:space="preserve">: </w:t>
                            </w:r>
                            <w:proofErr w:type="spellStart"/>
                            <w:r>
                              <w:t>WiSETi</w:t>
                            </w:r>
                            <w:proofErr w:type="spellEnd"/>
                            <w:r>
                              <w:t xml:space="preserve"> lecture - Molly Stevens</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27" type="#_x0000_t202" style="position:absolute;margin-left:.3pt;margin-top:174.8pt;width:191.3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" stroked="f">
                <v:textbox style="mso-fit-shape-to-text:t" inset="0,0,0,0">
                  <w:txbxContent>
                    <w:p w:rsidR="00F542D3" w:rsidRDefault="00F542D3" w:rsidP="00A93B1C">
                      <w:pPr>
                        <w:pStyle w:val="Caption"/>
                        <w:rPr>
                          <w:noProof/>
                        </w:rPr>
                      </w:pPr>
                      <w:bookmarkStart w:id="18" w:name="_Toc401575397"/>
                      <w:r>
                        <w:t xml:space="preserve">Figure </w:t>
                      </w:r>
                      <w:fldSimple w:instr=" SEQ Figure \* ARABIC ">
                        <w:r>
                          <w:rPr>
                            <w:noProof/>
                          </w:rPr>
                          <w:t>5</w:t>
                        </w:r>
                      </w:fldSimple>
                      <w:r>
                        <w:t xml:space="preserve">: </w:t>
                      </w:r>
                      <w:proofErr w:type="spellStart"/>
                      <w:r>
                        <w:t>WiSETi</w:t>
                      </w:r>
                      <w:proofErr w:type="spellEnd"/>
                      <w:r>
                        <w:t xml:space="preserve"> lecture - Molly Stevens</w:t>
                      </w:r>
                      <w:bookmarkEnd w:id="18"/>
                    </w:p>
                  </w:txbxContent>
                </v:textbox>
                <w10:wrap type="tight"/>
              </v:shape>
            </w:pict>
          </mc:Fallback>
        </mc:AlternateContent>
      </w:r>
      <w:r>
        <w:rPr>
          <w:noProof/>
        </w:rPr>
        <w:drawing>
          <wp:anchor distT="0" distB="0" distL="114300" distR="114300" simplePos="0" relativeHeight="251663360" behindDoc="1" locked="0" layoutInCell="1" allowOverlap="1" wp14:anchorId="5B850F1E" wp14:editId="1AA1E61D">
            <wp:simplePos x="0" y="0"/>
            <wp:positionH relativeFrom="column">
              <wp:posOffset>3810</wp:posOffset>
            </wp:positionH>
            <wp:positionV relativeFrom="paragraph">
              <wp:posOffset>3175</wp:posOffset>
            </wp:positionV>
            <wp:extent cx="2430145" cy="2159635"/>
            <wp:effectExtent l="0" t="0" r="8255" b="0"/>
            <wp:wrapTight wrapText="bothSides">
              <wp:wrapPolygon edited="0">
                <wp:start x="0" y="0"/>
                <wp:lineTo x="0" y="21340"/>
                <wp:lineTo x="21504" y="21340"/>
                <wp:lineTo x="2150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8M_2975sm.jpg"/>
                    <pic:cNvPicPr/>
                  </pic:nvPicPr>
                  <pic:blipFill>
                    <a:blip r:embed="rId18">
                      <a:extLst>
                        <a:ext uri="{28A0092B-C50C-407E-A947-70E740481C1C}">
                          <a14:useLocalDpi xmlns:a14="http://schemas.microsoft.com/office/drawing/2010/main" val="0"/>
                        </a:ext>
                      </a:extLst>
                    </a:blip>
                    <a:stretch>
                      <a:fillRect/>
                    </a:stretch>
                  </pic:blipFill>
                  <pic:spPr>
                    <a:xfrm>
                      <a:off x="0" y="0"/>
                      <a:ext cx="2430145" cy="2159635"/>
                    </a:xfrm>
                    <a:prstGeom prst="rect">
                      <a:avLst/>
                    </a:prstGeom>
                  </pic:spPr>
                </pic:pic>
              </a:graphicData>
            </a:graphic>
            <wp14:sizeRelH relativeFrom="page">
              <wp14:pctWidth>0</wp14:pctWidth>
            </wp14:sizeRelH>
            <wp14:sizeRelV relativeFrom="page">
              <wp14:pctHeight>0</wp14:pctHeight>
            </wp14:sizeRelV>
          </wp:anchor>
        </w:drawing>
      </w:r>
      <w:r w:rsidR="003D0037" w:rsidRPr="00996BF1">
        <w:rPr>
          <w:sz w:val="24"/>
          <w:szCs w:val="24"/>
          <w:u w:val="single"/>
        </w:rPr>
        <w:t>Women in Science, Engineering, Technology initiative (</w:t>
      </w:r>
      <w:proofErr w:type="spellStart"/>
      <w:r w:rsidR="003D0037" w:rsidRPr="00996BF1">
        <w:rPr>
          <w:sz w:val="24"/>
          <w:szCs w:val="24"/>
          <w:u w:val="single"/>
        </w:rPr>
        <w:t>WiSETi</w:t>
      </w:r>
      <w:proofErr w:type="spellEnd"/>
      <w:r w:rsidR="003D0037" w:rsidRPr="00996BF1">
        <w:rPr>
          <w:sz w:val="24"/>
          <w:szCs w:val="24"/>
          <w:u w:val="single"/>
        </w:rPr>
        <w:t>)</w:t>
      </w:r>
      <w:r w:rsidR="007941C8" w:rsidRPr="00996BF1">
        <w:rPr>
          <w:rStyle w:val="FootnoteReference"/>
          <w:sz w:val="24"/>
          <w:szCs w:val="24"/>
          <w:u w:val="single"/>
        </w:rPr>
        <w:footnoteReference w:id="11"/>
      </w:r>
      <w:r w:rsidR="003D0037" w:rsidRPr="00996BF1">
        <w:rPr>
          <w:sz w:val="24"/>
          <w:szCs w:val="24"/>
          <w:u w:val="single"/>
        </w:rPr>
        <w:t xml:space="preserve"> and Athena SWAN</w:t>
      </w:r>
      <w:r w:rsidR="007941C8" w:rsidRPr="00996BF1">
        <w:rPr>
          <w:rStyle w:val="FootnoteReference"/>
          <w:sz w:val="24"/>
          <w:szCs w:val="24"/>
          <w:u w:val="single"/>
        </w:rPr>
        <w:footnoteReference w:id="12"/>
      </w:r>
    </w:p>
    <w:p w:rsidR="003D0037" w:rsidRPr="00FD2759" w:rsidRDefault="003D0037" w:rsidP="00F86F08">
      <w:pPr>
        <w:ind w:firstLine="0"/>
        <w:rPr>
          <w:sz w:val="24"/>
          <w:szCs w:val="24"/>
        </w:rPr>
      </w:pPr>
      <w:proofErr w:type="spellStart"/>
      <w:r w:rsidRPr="00996BF1">
        <w:rPr>
          <w:sz w:val="24"/>
          <w:szCs w:val="24"/>
        </w:rPr>
        <w:t>WiSETi</w:t>
      </w:r>
      <w:proofErr w:type="spellEnd"/>
      <w:r w:rsidRPr="00996BF1">
        <w:rPr>
          <w:sz w:val="24"/>
          <w:szCs w:val="24"/>
        </w:rPr>
        <w:t xml:space="preserve"> is a University initiative which was introduced in 1999.  </w:t>
      </w:r>
      <w:proofErr w:type="spellStart"/>
      <w:r w:rsidRPr="00996BF1">
        <w:rPr>
          <w:sz w:val="24"/>
          <w:szCs w:val="24"/>
        </w:rPr>
        <w:t>WiSETi</w:t>
      </w:r>
      <w:proofErr w:type="spellEnd"/>
      <w:r w:rsidRPr="00996BF1">
        <w:rPr>
          <w:sz w:val="24"/>
          <w:szCs w:val="24"/>
        </w:rPr>
        <w:t xml:space="preserve"> created the</w:t>
      </w:r>
      <w:r w:rsidR="000F245F">
        <w:rPr>
          <w:sz w:val="24"/>
          <w:szCs w:val="24"/>
        </w:rPr>
        <w:t xml:space="preserve"> </w:t>
      </w:r>
      <w:r w:rsidR="000F245F" w:rsidRPr="00D942DE">
        <w:rPr>
          <w:sz w:val="24"/>
          <w:szCs w:val="24"/>
        </w:rPr>
        <w:t>Senior Academic Promotions</w:t>
      </w:r>
      <w:r w:rsidRPr="00D942DE">
        <w:rPr>
          <w:sz w:val="24"/>
          <w:szCs w:val="24"/>
        </w:rPr>
        <w:t xml:space="preserve"> </w:t>
      </w:r>
      <w:r w:rsidR="00EA5119" w:rsidRPr="00D942DE">
        <w:rPr>
          <w:sz w:val="24"/>
          <w:szCs w:val="24"/>
        </w:rPr>
        <w:t>(</w:t>
      </w:r>
      <w:r w:rsidRPr="00D942DE">
        <w:rPr>
          <w:sz w:val="24"/>
          <w:szCs w:val="24"/>
        </w:rPr>
        <w:t>SAP</w:t>
      </w:r>
      <w:r w:rsidR="00EA5119" w:rsidRPr="00D942DE">
        <w:rPr>
          <w:sz w:val="24"/>
          <w:szCs w:val="24"/>
        </w:rPr>
        <w:t>)</w:t>
      </w:r>
      <w:r w:rsidRPr="00D942DE">
        <w:rPr>
          <w:sz w:val="24"/>
          <w:szCs w:val="24"/>
        </w:rPr>
        <w:t xml:space="preserve"> CV </w:t>
      </w:r>
      <w:r w:rsidR="00F07406" w:rsidRPr="00D942DE">
        <w:rPr>
          <w:sz w:val="24"/>
          <w:szCs w:val="24"/>
        </w:rPr>
        <w:t>S</w:t>
      </w:r>
      <w:r w:rsidRPr="00D942DE">
        <w:rPr>
          <w:sz w:val="24"/>
          <w:szCs w:val="24"/>
        </w:rPr>
        <w:t>cheme</w:t>
      </w:r>
      <w:r w:rsidRPr="00996BF1">
        <w:rPr>
          <w:sz w:val="24"/>
          <w:szCs w:val="24"/>
        </w:rPr>
        <w:t>, which was initially for women in STEMM (Science, Technology, Engineering, Mathematics and Medicine) subjects but has now been extended across the University (</w:t>
      </w:r>
      <w:r w:rsidR="00ED1127" w:rsidRPr="00996BF1">
        <w:rPr>
          <w:sz w:val="24"/>
          <w:szCs w:val="24"/>
        </w:rPr>
        <w:t xml:space="preserve">47 mentees with 18 mentors </w:t>
      </w:r>
      <w:r w:rsidR="00424104">
        <w:rPr>
          <w:sz w:val="24"/>
          <w:szCs w:val="24"/>
        </w:rPr>
        <w:t>participated</w:t>
      </w:r>
      <w:r w:rsidR="00ED1127" w:rsidRPr="00996BF1">
        <w:rPr>
          <w:sz w:val="24"/>
          <w:szCs w:val="24"/>
        </w:rPr>
        <w:t xml:space="preserve"> in 2013</w:t>
      </w:r>
      <w:r w:rsidRPr="00996BF1">
        <w:rPr>
          <w:sz w:val="24"/>
          <w:szCs w:val="24"/>
        </w:rPr>
        <w:t xml:space="preserve">).  </w:t>
      </w:r>
      <w:proofErr w:type="spellStart"/>
      <w:r w:rsidRPr="00996BF1">
        <w:rPr>
          <w:sz w:val="24"/>
          <w:szCs w:val="24"/>
        </w:rPr>
        <w:t>WiSETi</w:t>
      </w:r>
      <w:proofErr w:type="spellEnd"/>
      <w:r w:rsidRPr="00996BF1">
        <w:rPr>
          <w:sz w:val="24"/>
          <w:szCs w:val="24"/>
        </w:rPr>
        <w:t xml:space="preserve"> also </w:t>
      </w:r>
      <w:r w:rsidR="00803B65">
        <w:rPr>
          <w:sz w:val="24"/>
          <w:szCs w:val="24"/>
        </w:rPr>
        <w:t>hosts</w:t>
      </w:r>
      <w:r w:rsidRPr="00996BF1">
        <w:rPr>
          <w:sz w:val="24"/>
          <w:szCs w:val="24"/>
        </w:rPr>
        <w:t xml:space="preserve"> an annual lecture </w:t>
      </w:r>
      <w:r w:rsidR="008F2F5D" w:rsidRPr="00996BF1">
        <w:rPr>
          <w:sz w:val="24"/>
          <w:szCs w:val="24"/>
        </w:rPr>
        <w:t xml:space="preserve">featuring </w:t>
      </w:r>
      <w:r w:rsidRPr="00996BF1">
        <w:rPr>
          <w:sz w:val="24"/>
          <w:szCs w:val="24"/>
        </w:rPr>
        <w:t xml:space="preserve">a </w:t>
      </w:r>
      <w:r w:rsidR="008F2F5D" w:rsidRPr="00996BF1">
        <w:rPr>
          <w:sz w:val="24"/>
          <w:szCs w:val="24"/>
        </w:rPr>
        <w:t>prominent female scientist</w:t>
      </w:r>
      <w:r w:rsidR="00606B43" w:rsidRPr="00996BF1">
        <w:rPr>
          <w:sz w:val="24"/>
          <w:szCs w:val="24"/>
        </w:rPr>
        <w:t xml:space="preserve"> engaged in a research career</w:t>
      </w:r>
      <w:r w:rsidR="000B2DF7">
        <w:rPr>
          <w:sz w:val="24"/>
          <w:szCs w:val="24"/>
        </w:rPr>
        <w:t xml:space="preserve"> (Figure 5)</w:t>
      </w:r>
      <w:r w:rsidRPr="00996BF1">
        <w:rPr>
          <w:sz w:val="24"/>
          <w:szCs w:val="24"/>
        </w:rPr>
        <w:t>.</w:t>
      </w:r>
      <w:r w:rsidR="00A01AB9">
        <w:rPr>
          <w:sz w:val="24"/>
          <w:szCs w:val="24"/>
        </w:rPr>
        <w:t xml:space="preserve">  The </w:t>
      </w:r>
      <w:proofErr w:type="spellStart"/>
      <w:r w:rsidR="00A01AB9">
        <w:rPr>
          <w:sz w:val="24"/>
          <w:szCs w:val="24"/>
        </w:rPr>
        <w:t>WiSETi</w:t>
      </w:r>
      <w:proofErr w:type="spellEnd"/>
      <w:r w:rsidR="00A01AB9">
        <w:rPr>
          <w:sz w:val="24"/>
          <w:szCs w:val="24"/>
        </w:rPr>
        <w:t xml:space="preserve"> Project Officer is</w:t>
      </w:r>
      <w:r w:rsidRPr="00996BF1">
        <w:rPr>
          <w:sz w:val="24"/>
          <w:szCs w:val="24"/>
        </w:rPr>
        <w:t xml:space="preserve"> the primary contact for the Athena SWAN </w:t>
      </w:r>
      <w:r w:rsidR="000F245F">
        <w:rPr>
          <w:sz w:val="24"/>
          <w:szCs w:val="24"/>
        </w:rPr>
        <w:t>Charter</w:t>
      </w:r>
      <w:r w:rsidR="000F245F">
        <w:rPr>
          <w:rStyle w:val="FootnoteReference"/>
          <w:sz w:val="24"/>
          <w:szCs w:val="24"/>
        </w:rPr>
        <w:footnoteReference w:id="13"/>
      </w:r>
      <w:r w:rsidR="000F245F" w:rsidRPr="00996BF1">
        <w:rPr>
          <w:sz w:val="24"/>
          <w:szCs w:val="24"/>
        </w:rPr>
        <w:t xml:space="preserve"> </w:t>
      </w:r>
      <w:r w:rsidRPr="00996BF1">
        <w:rPr>
          <w:sz w:val="24"/>
          <w:szCs w:val="24"/>
        </w:rPr>
        <w:t>at the University.  The University was award</w:t>
      </w:r>
      <w:r w:rsidR="00803B65">
        <w:rPr>
          <w:sz w:val="24"/>
          <w:szCs w:val="24"/>
        </w:rPr>
        <w:t>ed</w:t>
      </w:r>
      <w:r w:rsidRPr="00996BF1">
        <w:rPr>
          <w:sz w:val="24"/>
          <w:szCs w:val="24"/>
        </w:rPr>
        <w:t xml:space="preserve"> a </w:t>
      </w:r>
      <w:r w:rsidR="007941C8" w:rsidRPr="00996BF1">
        <w:rPr>
          <w:sz w:val="24"/>
          <w:szCs w:val="24"/>
        </w:rPr>
        <w:t>S</w:t>
      </w:r>
      <w:r w:rsidRPr="00996BF1">
        <w:rPr>
          <w:sz w:val="24"/>
          <w:szCs w:val="24"/>
        </w:rPr>
        <w:t xml:space="preserve">ilver </w:t>
      </w:r>
      <w:r w:rsidR="007941C8" w:rsidRPr="00996BF1">
        <w:rPr>
          <w:sz w:val="24"/>
          <w:szCs w:val="24"/>
        </w:rPr>
        <w:t>I</w:t>
      </w:r>
      <w:r w:rsidRPr="00996BF1">
        <w:rPr>
          <w:sz w:val="24"/>
          <w:szCs w:val="24"/>
        </w:rPr>
        <w:t xml:space="preserve">nstitution </w:t>
      </w:r>
      <w:r w:rsidR="007941C8" w:rsidRPr="00996BF1">
        <w:rPr>
          <w:sz w:val="24"/>
          <w:szCs w:val="24"/>
        </w:rPr>
        <w:t>A</w:t>
      </w:r>
      <w:r w:rsidRPr="00996BF1">
        <w:rPr>
          <w:sz w:val="24"/>
          <w:szCs w:val="24"/>
        </w:rPr>
        <w:t xml:space="preserve">ward this year joining only 4 other institutions </w:t>
      </w:r>
      <w:r w:rsidR="00803B65">
        <w:rPr>
          <w:sz w:val="24"/>
          <w:szCs w:val="24"/>
        </w:rPr>
        <w:t xml:space="preserve">nationally </w:t>
      </w:r>
      <w:r w:rsidRPr="00996BF1">
        <w:rPr>
          <w:sz w:val="24"/>
          <w:szCs w:val="24"/>
        </w:rPr>
        <w:t xml:space="preserve">with the accolade.  </w:t>
      </w:r>
      <w:r w:rsidR="0009440F" w:rsidRPr="00996BF1">
        <w:rPr>
          <w:sz w:val="24"/>
          <w:szCs w:val="24"/>
        </w:rPr>
        <w:t>13</w:t>
      </w:r>
      <w:r w:rsidRPr="00996BF1">
        <w:rPr>
          <w:sz w:val="24"/>
          <w:szCs w:val="24"/>
        </w:rPr>
        <w:t xml:space="preserve"> University departments now hold an Athena SWAN award, including a </w:t>
      </w:r>
      <w:r w:rsidR="00803B65">
        <w:rPr>
          <w:sz w:val="24"/>
          <w:szCs w:val="24"/>
        </w:rPr>
        <w:t>S</w:t>
      </w:r>
      <w:r w:rsidRPr="00996BF1">
        <w:rPr>
          <w:sz w:val="24"/>
          <w:szCs w:val="24"/>
        </w:rPr>
        <w:t>ilver</w:t>
      </w:r>
      <w:r w:rsidR="00A01AB9">
        <w:rPr>
          <w:sz w:val="24"/>
          <w:szCs w:val="24"/>
        </w:rPr>
        <w:t xml:space="preserve"> award</w:t>
      </w:r>
      <w:r w:rsidRPr="00996BF1">
        <w:rPr>
          <w:sz w:val="24"/>
          <w:szCs w:val="24"/>
        </w:rPr>
        <w:t xml:space="preserve"> for the School of Clinical Medicine and </w:t>
      </w:r>
      <w:r w:rsidR="007941C8" w:rsidRPr="00996BF1">
        <w:rPr>
          <w:sz w:val="24"/>
          <w:szCs w:val="24"/>
        </w:rPr>
        <w:t>a</w:t>
      </w:r>
      <w:r w:rsidRPr="00996BF1">
        <w:rPr>
          <w:sz w:val="24"/>
          <w:szCs w:val="24"/>
        </w:rPr>
        <w:t xml:space="preserve"> Gold </w:t>
      </w:r>
      <w:r w:rsidR="00A01AB9">
        <w:rPr>
          <w:sz w:val="24"/>
          <w:szCs w:val="24"/>
        </w:rPr>
        <w:t xml:space="preserve">award </w:t>
      </w:r>
      <w:r w:rsidRPr="00996BF1">
        <w:rPr>
          <w:sz w:val="24"/>
          <w:szCs w:val="24"/>
        </w:rPr>
        <w:t xml:space="preserve">for </w:t>
      </w:r>
      <w:r w:rsidR="00803B65">
        <w:rPr>
          <w:sz w:val="24"/>
          <w:szCs w:val="24"/>
        </w:rPr>
        <w:t xml:space="preserve">the Department of </w:t>
      </w:r>
      <w:r w:rsidRPr="00996BF1">
        <w:rPr>
          <w:sz w:val="24"/>
          <w:szCs w:val="24"/>
        </w:rPr>
        <w:t>Physics</w:t>
      </w:r>
      <w:r w:rsidR="006517F3">
        <w:rPr>
          <w:sz w:val="24"/>
          <w:szCs w:val="24"/>
        </w:rPr>
        <w:t>, which was awarded in 2014.</w:t>
      </w:r>
    </w:p>
    <w:p w:rsidR="00A93B1C" w:rsidRPr="00996BF1" w:rsidRDefault="00A93B1C" w:rsidP="00F86F08">
      <w:pPr>
        <w:ind w:firstLine="0"/>
        <w:rPr>
          <w:sz w:val="24"/>
          <w:szCs w:val="24"/>
        </w:rPr>
      </w:pPr>
    </w:p>
    <w:p w:rsidR="003D0037" w:rsidRPr="00996BF1" w:rsidRDefault="003D0037" w:rsidP="00F86F08">
      <w:pPr>
        <w:ind w:firstLine="0"/>
        <w:rPr>
          <w:sz w:val="24"/>
          <w:szCs w:val="24"/>
          <w:u w:val="single"/>
        </w:rPr>
      </w:pPr>
      <w:r w:rsidRPr="00996BF1">
        <w:rPr>
          <w:sz w:val="24"/>
          <w:szCs w:val="24"/>
          <w:u w:val="single"/>
        </w:rPr>
        <w:t>Gender Equality Champion</w:t>
      </w:r>
      <w:r w:rsidR="007941C8" w:rsidRPr="00996BF1">
        <w:rPr>
          <w:sz w:val="24"/>
          <w:szCs w:val="24"/>
          <w:u w:val="single"/>
        </w:rPr>
        <w:t>(s)</w:t>
      </w:r>
    </w:p>
    <w:p w:rsidR="003D0037" w:rsidRPr="00996BF1" w:rsidRDefault="003D0037" w:rsidP="00F86F08">
      <w:pPr>
        <w:ind w:firstLine="0"/>
        <w:rPr>
          <w:sz w:val="24"/>
          <w:szCs w:val="24"/>
        </w:rPr>
      </w:pPr>
      <w:r w:rsidRPr="00996BF1">
        <w:rPr>
          <w:sz w:val="24"/>
          <w:szCs w:val="24"/>
        </w:rPr>
        <w:t xml:space="preserve">The Gender Equality Champion is the chair of GEG and a representative for gender throughout the University.  This role will be expanded </w:t>
      </w:r>
      <w:r w:rsidR="002A48F7">
        <w:rPr>
          <w:sz w:val="24"/>
          <w:szCs w:val="24"/>
        </w:rPr>
        <w:t>to</w:t>
      </w:r>
      <w:r w:rsidRPr="00996BF1">
        <w:rPr>
          <w:sz w:val="24"/>
          <w:szCs w:val="24"/>
        </w:rPr>
        <w:t xml:space="preserve"> two Gender Equality Champions </w:t>
      </w:r>
      <w:r w:rsidR="001D27BC" w:rsidRPr="00996BF1">
        <w:rPr>
          <w:sz w:val="24"/>
          <w:szCs w:val="24"/>
        </w:rPr>
        <w:t>for 2014/15</w:t>
      </w:r>
      <w:r w:rsidR="003F4C56">
        <w:rPr>
          <w:sz w:val="24"/>
          <w:szCs w:val="24"/>
        </w:rPr>
        <w:t>,</w:t>
      </w:r>
      <w:r w:rsidR="001D27BC" w:rsidRPr="00996BF1">
        <w:rPr>
          <w:sz w:val="24"/>
          <w:szCs w:val="24"/>
        </w:rPr>
        <w:t xml:space="preserve"> with </w:t>
      </w:r>
      <w:r w:rsidRPr="00996BF1">
        <w:rPr>
          <w:sz w:val="24"/>
          <w:szCs w:val="24"/>
        </w:rPr>
        <w:t xml:space="preserve">one </w:t>
      </w:r>
      <w:r w:rsidR="001D27BC" w:rsidRPr="00996BF1">
        <w:rPr>
          <w:sz w:val="24"/>
          <w:szCs w:val="24"/>
        </w:rPr>
        <w:t xml:space="preserve">representing </w:t>
      </w:r>
      <w:r w:rsidRPr="00996BF1">
        <w:rPr>
          <w:sz w:val="24"/>
          <w:szCs w:val="24"/>
        </w:rPr>
        <w:t xml:space="preserve">STEMM subjects and </w:t>
      </w:r>
      <w:r w:rsidR="001D27BC" w:rsidRPr="00996BF1">
        <w:rPr>
          <w:sz w:val="24"/>
          <w:szCs w:val="24"/>
        </w:rPr>
        <w:t>the other</w:t>
      </w:r>
      <w:r w:rsidRPr="00996BF1">
        <w:rPr>
          <w:sz w:val="24"/>
          <w:szCs w:val="24"/>
        </w:rPr>
        <w:t xml:space="preserve"> AHSS (Arts, Humanities and Social Sciences) subjects.  </w:t>
      </w:r>
      <w:r w:rsidR="00606B43" w:rsidRPr="00996BF1">
        <w:rPr>
          <w:sz w:val="24"/>
          <w:szCs w:val="24"/>
        </w:rPr>
        <w:lastRenderedPageBreak/>
        <w:t xml:space="preserve">The </w:t>
      </w:r>
      <w:r w:rsidR="003F4C56">
        <w:rPr>
          <w:sz w:val="24"/>
          <w:szCs w:val="24"/>
        </w:rPr>
        <w:t>C</w:t>
      </w:r>
      <w:r w:rsidR="00606B43" w:rsidRPr="00996BF1">
        <w:rPr>
          <w:sz w:val="24"/>
          <w:szCs w:val="24"/>
        </w:rPr>
        <w:t xml:space="preserve">hampion programme will </w:t>
      </w:r>
      <w:r w:rsidR="00530D5D" w:rsidRPr="00996BF1">
        <w:rPr>
          <w:sz w:val="24"/>
          <w:szCs w:val="24"/>
        </w:rPr>
        <w:t xml:space="preserve">be </w:t>
      </w:r>
      <w:r w:rsidR="001D27BC" w:rsidRPr="00996BF1">
        <w:rPr>
          <w:sz w:val="24"/>
          <w:szCs w:val="24"/>
        </w:rPr>
        <w:t xml:space="preserve">further </w:t>
      </w:r>
      <w:r w:rsidR="00606B43" w:rsidRPr="00996BF1">
        <w:rPr>
          <w:sz w:val="24"/>
          <w:szCs w:val="24"/>
        </w:rPr>
        <w:t>ex</w:t>
      </w:r>
      <w:r w:rsidR="009433A4">
        <w:rPr>
          <w:sz w:val="24"/>
          <w:szCs w:val="24"/>
        </w:rPr>
        <w:t xml:space="preserve">panded to include the </w:t>
      </w:r>
      <w:r w:rsidR="003F4C56">
        <w:rPr>
          <w:sz w:val="24"/>
          <w:szCs w:val="24"/>
        </w:rPr>
        <w:t>S</w:t>
      </w:r>
      <w:r w:rsidR="009433A4">
        <w:rPr>
          <w:sz w:val="24"/>
          <w:szCs w:val="24"/>
        </w:rPr>
        <w:t>chools</w:t>
      </w:r>
      <w:r w:rsidR="003F4C56">
        <w:rPr>
          <w:sz w:val="24"/>
          <w:szCs w:val="24"/>
        </w:rPr>
        <w:t xml:space="preserve"> with the identification of SGEN Champions</w:t>
      </w:r>
      <w:r w:rsidR="009433A4">
        <w:rPr>
          <w:sz w:val="24"/>
          <w:szCs w:val="24"/>
        </w:rPr>
        <w:t>.</w:t>
      </w:r>
      <w:r w:rsidR="007941C8" w:rsidRPr="00996BF1">
        <w:rPr>
          <w:rStyle w:val="FootnoteReference"/>
          <w:sz w:val="24"/>
          <w:szCs w:val="24"/>
        </w:rPr>
        <w:footnoteReference w:id="14"/>
      </w:r>
      <w:r w:rsidRPr="00996BF1">
        <w:rPr>
          <w:sz w:val="24"/>
          <w:szCs w:val="24"/>
        </w:rPr>
        <w:t>.</w:t>
      </w:r>
    </w:p>
    <w:p w:rsidR="00096561" w:rsidRPr="00996BF1" w:rsidRDefault="00096561" w:rsidP="00F86F08">
      <w:pPr>
        <w:ind w:firstLine="0"/>
        <w:rPr>
          <w:sz w:val="24"/>
          <w:szCs w:val="24"/>
        </w:rPr>
      </w:pPr>
    </w:p>
    <w:p w:rsidR="00A17E4A" w:rsidRPr="00381D1B" w:rsidRDefault="00A17E4A" w:rsidP="00F86F08">
      <w:pPr>
        <w:pStyle w:val="Heading3"/>
        <w:rPr>
          <w:color w:val="365F91" w:themeColor="accent1" w:themeShade="BF"/>
        </w:rPr>
      </w:pPr>
      <w:bookmarkStart w:id="18" w:name="_Toc400632047"/>
      <w:bookmarkStart w:id="19" w:name="_Toc401575361"/>
      <w:r w:rsidRPr="00381D1B">
        <w:rPr>
          <w:color w:val="365F91" w:themeColor="accent1" w:themeShade="BF"/>
        </w:rPr>
        <w:t>3.2.2 Staff groups and grades</w:t>
      </w:r>
      <w:bookmarkEnd w:id="18"/>
      <w:bookmarkEnd w:id="19"/>
    </w:p>
    <w:p w:rsidR="003E270F" w:rsidRDefault="009433A4" w:rsidP="00F86F08">
      <w:pPr>
        <w:ind w:firstLine="0"/>
        <w:rPr>
          <w:sz w:val="24"/>
          <w:szCs w:val="24"/>
        </w:rPr>
      </w:pPr>
      <w:r>
        <w:rPr>
          <w:sz w:val="24"/>
          <w:szCs w:val="24"/>
        </w:rPr>
        <w:t xml:space="preserve">One of the aims of creating SGEN was to </w:t>
      </w:r>
      <w:r w:rsidR="003A2D4E">
        <w:rPr>
          <w:sz w:val="24"/>
          <w:szCs w:val="24"/>
        </w:rPr>
        <w:t>address</w:t>
      </w:r>
      <w:r>
        <w:rPr>
          <w:sz w:val="24"/>
          <w:szCs w:val="24"/>
        </w:rPr>
        <w:t xml:space="preserve"> the </w:t>
      </w:r>
      <w:r w:rsidR="003A2D4E">
        <w:rPr>
          <w:sz w:val="24"/>
          <w:szCs w:val="24"/>
        </w:rPr>
        <w:t>under-representation</w:t>
      </w:r>
      <w:r w:rsidR="00EA5119">
        <w:rPr>
          <w:sz w:val="24"/>
          <w:szCs w:val="24"/>
        </w:rPr>
        <w:t xml:space="preserve"> </w:t>
      </w:r>
      <w:r>
        <w:rPr>
          <w:sz w:val="24"/>
          <w:szCs w:val="24"/>
        </w:rPr>
        <w:t xml:space="preserve">of women in senior roles.  </w:t>
      </w:r>
      <w:r w:rsidR="008369CD" w:rsidRPr="00996BF1">
        <w:rPr>
          <w:sz w:val="24"/>
          <w:szCs w:val="24"/>
        </w:rPr>
        <w:t xml:space="preserve">The representation of </w:t>
      </w:r>
      <w:r w:rsidR="006D6F78" w:rsidRPr="00996BF1">
        <w:rPr>
          <w:sz w:val="24"/>
          <w:szCs w:val="24"/>
        </w:rPr>
        <w:t xml:space="preserve">the percentage of </w:t>
      </w:r>
      <w:r w:rsidR="008369CD" w:rsidRPr="00996BF1">
        <w:rPr>
          <w:sz w:val="24"/>
          <w:szCs w:val="24"/>
        </w:rPr>
        <w:t xml:space="preserve">female employees </w:t>
      </w:r>
      <w:r>
        <w:rPr>
          <w:sz w:val="24"/>
          <w:szCs w:val="24"/>
        </w:rPr>
        <w:t xml:space="preserve">in each grade </w:t>
      </w:r>
      <w:r w:rsidR="006D6F78" w:rsidRPr="00996BF1">
        <w:rPr>
          <w:sz w:val="24"/>
          <w:szCs w:val="24"/>
        </w:rPr>
        <w:t xml:space="preserve">increases from 56.1% </w:t>
      </w:r>
      <w:r w:rsidR="00F542D3">
        <w:rPr>
          <w:sz w:val="24"/>
          <w:szCs w:val="24"/>
        </w:rPr>
        <w:t>at Grade 1 up to 71.7% at G</w:t>
      </w:r>
      <w:r w:rsidR="006D6F78" w:rsidRPr="00996BF1">
        <w:rPr>
          <w:sz w:val="24"/>
          <w:szCs w:val="24"/>
        </w:rPr>
        <w:t>rade 4 and then decreases</w:t>
      </w:r>
      <w:r w:rsidR="008369CD" w:rsidRPr="00996BF1">
        <w:rPr>
          <w:sz w:val="24"/>
          <w:szCs w:val="24"/>
        </w:rPr>
        <w:t xml:space="preserve"> </w:t>
      </w:r>
      <w:r w:rsidR="00901BCE" w:rsidRPr="00996BF1">
        <w:rPr>
          <w:sz w:val="24"/>
          <w:szCs w:val="24"/>
        </w:rPr>
        <w:t xml:space="preserve">through the remaining grades </w:t>
      </w:r>
      <w:r w:rsidR="00C6510C" w:rsidRPr="00996BF1">
        <w:rPr>
          <w:sz w:val="24"/>
          <w:szCs w:val="24"/>
        </w:rPr>
        <w:t xml:space="preserve">to </w:t>
      </w:r>
      <w:r w:rsidR="002532D8" w:rsidRPr="00996BF1">
        <w:rPr>
          <w:sz w:val="24"/>
          <w:szCs w:val="24"/>
        </w:rPr>
        <w:t xml:space="preserve">16.8% at </w:t>
      </w:r>
      <w:r w:rsidR="002A48F7">
        <w:rPr>
          <w:sz w:val="24"/>
          <w:szCs w:val="24"/>
        </w:rPr>
        <w:t xml:space="preserve">the </w:t>
      </w:r>
      <w:r w:rsidR="00F542D3">
        <w:rPr>
          <w:sz w:val="24"/>
          <w:szCs w:val="24"/>
        </w:rPr>
        <w:t xml:space="preserve">Grade 12 </w:t>
      </w:r>
      <w:r w:rsidR="000B2DF7">
        <w:rPr>
          <w:sz w:val="24"/>
          <w:szCs w:val="24"/>
        </w:rPr>
        <w:t>(Figure 6)</w:t>
      </w:r>
      <w:r w:rsidR="002532D8" w:rsidRPr="00996BF1">
        <w:rPr>
          <w:sz w:val="24"/>
          <w:szCs w:val="24"/>
        </w:rPr>
        <w:t>.</w:t>
      </w:r>
    </w:p>
    <w:p w:rsidR="00F542D3" w:rsidRPr="00996BF1" w:rsidRDefault="00F542D3" w:rsidP="00F86F08">
      <w:pPr>
        <w:ind w:firstLine="0"/>
        <w:rPr>
          <w:sz w:val="24"/>
          <w:szCs w:val="24"/>
        </w:rPr>
      </w:pPr>
    </w:p>
    <w:p w:rsidR="009433A4" w:rsidRDefault="00F542D3" w:rsidP="009433A4">
      <w:pPr>
        <w:keepNext/>
        <w:ind w:firstLine="0"/>
      </w:pPr>
      <w:r>
        <w:rPr>
          <w:noProof/>
        </w:rPr>
        <w:drawing>
          <wp:inline distT="0" distB="0" distL="0" distR="0" wp14:anchorId="613B7A43">
            <wp:extent cx="5450205" cy="304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0205" cy="3048000"/>
                    </a:xfrm>
                    <a:prstGeom prst="rect">
                      <a:avLst/>
                    </a:prstGeom>
                    <a:noFill/>
                  </pic:spPr>
                </pic:pic>
              </a:graphicData>
            </a:graphic>
          </wp:inline>
        </w:drawing>
      </w:r>
    </w:p>
    <w:p w:rsidR="00DE37C9" w:rsidRDefault="009433A4" w:rsidP="009433A4">
      <w:pPr>
        <w:pStyle w:val="Caption"/>
      </w:pPr>
      <w:bookmarkStart w:id="20" w:name="_Toc401575398"/>
      <w:r>
        <w:t xml:space="preserve">Figure </w:t>
      </w:r>
      <w:fldSimple w:instr=" SEQ Figure \* ARABIC ">
        <w:r w:rsidR="00784F84">
          <w:rPr>
            <w:noProof/>
          </w:rPr>
          <w:t>6</w:t>
        </w:r>
      </w:fldSimple>
      <w:r>
        <w:t>:  Gender breakdown by grade</w:t>
      </w:r>
      <w:bookmarkEnd w:id="20"/>
    </w:p>
    <w:p w:rsidR="003E270F" w:rsidRDefault="003E270F" w:rsidP="00F86F08">
      <w:pPr>
        <w:ind w:firstLine="0"/>
      </w:pPr>
    </w:p>
    <w:p w:rsidR="00217CA8" w:rsidRPr="00996BF1" w:rsidRDefault="00217CA8" w:rsidP="00F86F08">
      <w:pPr>
        <w:ind w:firstLine="0"/>
        <w:rPr>
          <w:sz w:val="24"/>
          <w:szCs w:val="24"/>
        </w:rPr>
      </w:pPr>
      <w:r w:rsidRPr="00996BF1">
        <w:rPr>
          <w:sz w:val="24"/>
          <w:szCs w:val="24"/>
        </w:rPr>
        <w:t xml:space="preserve">The high percentage of female employees at </w:t>
      </w:r>
      <w:r w:rsidR="003A2D4E">
        <w:rPr>
          <w:sz w:val="24"/>
          <w:szCs w:val="24"/>
        </w:rPr>
        <w:t>G</w:t>
      </w:r>
      <w:r w:rsidRPr="00996BF1">
        <w:rPr>
          <w:sz w:val="24"/>
          <w:szCs w:val="24"/>
        </w:rPr>
        <w:t>rade 4 correspon</w:t>
      </w:r>
      <w:r w:rsidR="00472598">
        <w:rPr>
          <w:sz w:val="24"/>
          <w:szCs w:val="24"/>
        </w:rPr>
        <w:t>ds with the high percentage of A</w:t>
      </w:r>
      <w:r w:rsidRPr="00996BF1">
        <w:rPr>
          <w:sz w:val="24"/>
          <w:szCs w:val="24"/>
        </w:rPr>
        <w:t xml:space="preserve">ssistant staff </w:t>
      </w:r>
      <w:proofErr w:type="gramStart"/>
      <w:r w:rsidRPr="00996BF1">
        <w:rPr>
          <w:sz w:val="24"/>
          <w:szCs w:val="24"/>
        </w:rPr>
        <w:t>who</w:t>
      </w:r>
      <w:proofErr w:type="gramEnd"/>
      <w:r w:rsidRPr="00996BF1">
        <w:rPr>
          <w:sz w:val="24"/>
          <w:szCs w:val="24"/>
        </w:rPr>
        <w:t xml:space="preserve"> </w:t>
      </w:r>
      <w:r w:rsidR="005317C2" w:rsidRPr="00996BF1">
        <w:rPr>
          <w:sz w:val="24"/>
          <w:szCs w:val="24"/>
        </w:rPr>
        <w:t>are female (61.7%).  Overall</w:t>
      </w:r>
      <w:r w:rsidR="002A48F7">
        <w:rPr>
          <w:sz w:val="24"/>
          <w:szCs w:val="24"/>
        </w:rPr>
        <w:t>,</w:t>
      </w:r>
      <w:r w:rsidR="00472598">
        <w:rPr>
          <w:sz w:val="24"/>
          <w:szCs w:val="24"/>
        </w:rPr>
        <w:t xml:space="preserve"> A</w:t>
      </w:r>
      <w:r w:rsidR="005317C2" w:rsidRPr="00996BF1">
        <w:rPr>
          <w:sz w:val="24"/>
          <w:szCs w:val="24"/>
        </w:rPr>
        <w:t xml:space="preserve">ssistant staff </w:t>
      </w:r>
      <w:r w:rsidR="00F94732" w:rsidRPr="00996BF1">
        <w:rPr>
          <w:sz w:val="24"/>
          <w:szCs w:val="24"/>
        </w:rPr>
        <w:t>comprise</w:t>
      </w:r>
      <w:r w:rsidR="005317C2" w:rsidRPr="00996BF1">
        <w:rPr>
          <w:sz w:val="24"/>
          <w:szCs w:val="24"/>
        </w:rPr>
        <w:t xml:space="preserve"> a third of the University staff population (33.3%).  </w:t>
      </w:r>
    </w:p>
    <w:p w:rsidR="0009440F" w:rsidRPr="00996BF1" w:rsidRDefault="0009440F" w:rsidP="00F86F08">
      <w:pPr>
        <w:ind w:firstLine="0"/>
        <w:rPr>
          <w:sz w:val="24"/>
          <w:szCs w:val="24"/>
        </w:rPr>
      </w:pPr>
    </w:p>
    <w:p w:rsidR="00EF1C67" w:rsidRPr="00996BF1" w:rsidRDefault="00EF1C67" w:rsidP="00996BF1">
      <w:pPr>
        <w:ind w:firstLine="0"/>
        <w:rPr>
          <w:sz w:val="24"/>
          <w:szCs w:val="24"/>
        </w:rPr>
      </w:pPr>
    </w:p>
    <w:p w:rsidR="00F94732" w:rsidRPr="00381D1B" w:rsidRDefault="00F94732" w:rsidP="00F86F08">
      <w:pPr>
        <w:pStyle w:val="Heading3"/>
        <w:rPr>
          <w:color w:val="365F91" w:themeColor="accent1" w:themeShade="BF"/>
        </w:rPr>
      </w:pPr>
      <w:bookmarkStart w:id="21" w:name="_Toc400632048"/>
      <w:bookmarkStart w:id="22" w:name="_Toc401575362"/>
      <w:r w:rsidRPr="00381D1B">
        <w:rPr>
          <w:color w:val="365F91" w:themeColor="accent1" w:themeShade="BF"/>
        </w:rPr>
        <w:t>3.2</w:t>
      </w:r>
      <w:r w:rsidR="009778A1" w:rsidRPr="00381D1B">
        <w:rPr>
          <w:color w:val="365F91" w:themeColor="accent1" w:themeShade="BF"/>
        </w:rPr>
        <w:t>.3 Academic staff type</w:t>
      </w:r>
      <w:bookmarkEnd w:id="21"/>
      <w:bookmarkEnd w:id="22"/>
    </w:p>
    <w:p w:rsidR="00F94732" w:rsidRPr="00996BF1" w:rsidRDefault="00F94732" w:rsidP="00F86F08">
      <w:pPr>
        <w:ind w:firstLine="0"/>
        <w:rPr>
          <w:sz w:val="24"/>
          <w:szCs w:val="24"/>
        </w:rPr>
      </w:pPr>
      <w:r w:rsidRPr="00996BF1">
        <w:rPr>
          <w:sz w:val="24"/>
          <w:szCs w:val="24"/>
        </w:rPr>
        <w:t>The represen</w:t>
      </w:r>
      <w:r w:rsidR="00472598">
        <w:rPr>
          <w:sz w:val="24"/>
          <w:szCs w:val="24"/>
        </w:rPr>
        <w:t>tation of female staff amongst A</w:t>
      </w:r>
      <w:r w:rsidRPr="00996BF1">
        <w:rPr>
          <w:sz w:val="24"/>
          <w:szCs w:val="24"/>
        </w:rPr>
        <w:t xml:space="preserve">cademics is 28.0%.  They represent 34.8% of University lecturers and 34.7% of Senior lecturers.  16.1% of professors are female </w:t>
      </w:r>
      <w:r w:rsidR="000B2DF7">
        <w:rPr>
          <w:sz w:val="24"/>
          <w:szCs w:val="24"/>
        </w:rPr>
        <w:t xml:space="preserve">(Figure 7) </w:t>
      </w:r>
      <w:r w:rsidRPr="00996BF1">
        <w:rPr>
          <w:sz w:val="24"/>
          <w:szCs w:val="24"/>
        </w:rPr>
        <w:t xml:space="preserve">which breaks down as </w:t>
      </w:r>
      <w:r w:rsidR="00E153A9">
        <w:rPr>
          <w:sz w:val="24"/>
          <w:szCs w:val="24"/>
        </w:rPr>
        <w:t>13.9</w:t>
      </w:r>
      <w:r w:rsidRPr="00996BF1">
        <w:rPr>
          <w:sz w:val="24"/>
          <w:szCs w:val="24"/>
        </w:rPr>
        <w:t xml:space="preserve">% in STEMM and </w:t>
      </w:r>
      <w:r w:rsidR="005943CB" w:rsidRPr="00996BF1">
        <w:rPr>
          <w:sz w:val="24"/>
          <w:szCs w:val="24"/>
        </w:rPr>
        <w:t>21.7</w:t>
      </w:r>
      <w:r w:rsidRPr="00996BF1">
        <w:rPr>
          <w:sz w:val="24"/>
          <w:szCs w:val="24"/>
        </w:rPr>
        <w:t xml:space="preserve">% in AHSS.  This compares </w:t>
      </w:r>
      <w:r w:rsidR="000B75B3" w:rsidRPr="00996BF1">
        <w:rPr>
          <w:sz w:val="24"/>
          <w:szCs w:val="24"/>
        </w:rPr>
        <w:t>with</w:t>
      </w:r>
      <w:r w:rsidR="002229B9" w:rsidRPr="00996BF1">
        <w:rPr>
          <w:sz w:val="24"/>
          <w:szCs w:val="24"/>
        </w:rPr>
        <w:t xml:space="preserve"> 20% </w:t>
      </w:r>
      <w:r w:rsidR="000B75B3" w:rsidRPr="00996BF1">
        <w:rPr>
          <w:sz w:val="24"/>
          <w:szCs w:val="24"/>
        </w:rPr>
        <w:t>across the Russell Group of Universities</w:t>
      </w:r>
      <w:r w:rsidR="002229B9" w:rsidRPr="00996BF1">
        <w:rPr>
          <w:sz w:val="24"/>
          <w:szCs w:val="24"/>
        </w:rPr>
        <w:t xml:space="preserve"> in 2012/13</w:t>
      </w:r>
      <w:r w:rsidR="000B75B3" w:rsidRPr="00996BF1">
        <w:rPr>
          <w:sz w:val="24"/>
          <w:szCs w:val="24"/>
        </w:rPr>
        <w:t xml:space="preserve">.  </w:t>
      </w:r>
    </w:p>
    <w:p w:rsidR="009778A1" w:rsidRDefault="009778A1" w:rsidP="00F86F08">
      <w:pPr>
        <w:ind w:firstLine="0"/>
      </w:pPr>
    </w:p>
    <w:p w:rsidR="009433A4" w:rsidRDefault="005943CB" w:rsidP="009433A4">
      <w:pPr>
        <w:keepNext/>
        <w:ind w:firstLine="0"/>
      </w:pPr>
      <w:r>
        <w:rPr>
          <w:noProof/>
        </w:rPr>
        <w:lastRenderedPageBreak/>
        <w:drawing>
          <wp:inline distT="0" distB="0" distL="0" distR="0" wp14:anchorId="143725AB" wp14:editId="22ACD0E3">
            <wp:extent cx="5414010" cy="27559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4010" cy="2755900"/>
                    </a:xfrm>
                    <a:prstGeom prst="rect">
                      <a:avLst/>
                    </a:prstGeom>
                    <a:noFill/>
                  </pic:spPr>
                </pic:pic>
              </a:graphicData>
            </a:graphic>
          </wp:inline>
        </w:drawing>
      </w:r>
    </w:p>
    <w:p w:rsidR="005943CB" w:rsidRDefault="009433A4" w:rsidP="009433A4">
      <w:pPr>
        <w:pStyle w:val="Caption"/>
      </w:pPr>
      <w:bookmarkStart w:id="23" w:name="_Toc401575399"/>
      <w:r>
        <w:t xml:space="preserve">Figure </w:t>
      </w:r>
      <w:fldSimple w:instr=" SEQ Figure \* ARABIC ">
        <w:r w:rsidR="00784F84">
          <w:rPr>
            <w:noProof/>
          </w:rPr>
          <w:t>7</w:t>
        </w:r>
      </w:fldSimple>
      <w:r w:rsidR="00472598">
        <w:t>:  Gender breakdown of A</w:t>
      </w:r>
      <w:r>
        <w:t>cademic staff</w:t>
      </w:r>
      <w:bookmarkEnd w:id="23"/>
    </w:p>
    <w:p w:rsidR="005943CB" w:rsidRDefault="005943CB" w:rsidP="00F86F08">
      <w:pPr>
        <w:ind w:firstLine="0"/>
      </w:pPr>
    </w:p>
    <w:p w:rsidR="000B75B3" w:rsidRPr="00381D1B" w:rsidRDefault="009778A1" w:rsidP="00F86F08">
      <w:pPr>
        <w:pStyle w:val="Heading3"/>
        <w:rPr>
          <w:color w:val="365F91" w:themeColor="accent1" w:themeShade="BF"/>
        </w:rPr>
      </w:pPr>
      <w:bookmarkStart w:id="24" w:name="_Toc400632049"/>
      <w:bookmarkStart w:id="25" w:name="_Toc401575363"/>
      <w:r w:rsidRPr="00381D1B">
        <w:rPr>
          <w:color w:val="365F91" w:themeColor="accent1" w:themeShade="BF"/>
        </w:rPr>
        <w:t xml:space="preserve">3.2.4 </w:t>
      </w:r>
      <w:r w:rsidR="009C1529" w:rsidRPr="00381D1B">
        <w:rPr>
          <w:color w:val="365F91" w:themeColor="accent1" w:themeShade="BF"/>
        </w:rPr>
        <w:t>E</w:t>
      </w:r>
      <w:r w:rsidRPr="00381D1B">
        <w:rPr>
          <w:color w:val="365F91" w:themeColor="accent1" w:themeShade="BF"/>
        </w:rPr>
        <w:t>mployment status</w:t>
      </w:r>
      <w:bookmarkEnd w:id="24"/>
      <w:bookmarkEnd w:id="25"/>
    </w:p>
    <w:p w:rsidR="00B81FBA" w:rsidRDefault="005943CB" w:rsidP="00F86F08">
      <w:pPr>
        <w:ind w:firstLine="0"/>
        <w:rPr>
          <w:sz w:val="24"/>
          <w:szCs w:val="24"/>
        </w:rPr>
      </w:pPr>
      <w:r w:rsidRPr="00996BF1">
        <w:rPr>
          <w:sz w:val="24"/>
          <w:szCs w:val="24"/>
        </w:rPr>
        <w:t>Fixed term contracts make up 26.0% of all contracts at the University.  24.4% of female staff are on a fixed term contract compared to their male counterparts for whom 27.5% of contracts are fixed term.  Overall, 20% of all employees are part-time, with female employees at 29.3% compared to 11.0% of male employees.</w:t>
      </w:r>
      <w:r w:rsidR="001D27BC" w:rsidRPr="00996BF1">
        <w:rPr>
          <w:sz w:val="24"/>
          <w:szCs w:val="24"/>
        </w:rPr>
        <w:t xml:space="preserve">  </w:t>
      </w:r>
    </w:p>
    <w:p w:rsidR="00B81FBA" w:rsidRDefault="00B81FBA" w:rsidP="00F86F08">
      <w:pPr>
        <w:ind w:firstLine="0"/>
        <w:rPr>
          <w:sz w:val="24"/>
          <w:szCs w:val="24"/>
        </w:rPr>
      </w:pPr>
    </w:p>
    <w:p w:rsidR="005943CB" w:rsidRPr="00996BF1" w:rsidRDefault="00472598" w:rsidP="00F86F08">
      <w:pPr>
        <w:ind w:firstLine="0"/>
        <w:rPr>
          <w:sz w:val="24"/>
          <w:szCs w:val="24"/>
        </w:rPr>
      </w:pPr>
      <w:r>
        <w:rPr>
          <w:sz w:val="24"/>
          <w:szCs w:val="24"/>
        </w:rPr>
        <w:t>93.0% of male A</w:t>
      </w:r>
      <w:r w:rsidR="001D27BC" w:rsidRPr="00996BF1">
        <w:rPr>
          <w:sz w:val="24"/>
          <w:szCs w:val="24"/>
        </w:rPr>
        <w:t>cademic</w:t>
      </w:r>
      <w:r w:rsidR="00B81FBA">
        <w:rPr>
          <w:sz w:val="24"/>
          <w:szCs w:val="24"/>
        </w:rPr>
        <w:t xml:space="preserve">s are on established contracts with </w:t>
      </w:r>
      <w:r>
        <w:rPr>
          <w:sz w:val="24"/>
          <w:szCs w:val="24"/>
        </w:rPr>
        <w:t>82.7% of female A</w:t>
      </w:r>
      <w:r w:rsidR="001D27BC" w:rsidRPr="00996BF1">
        <w:rPr>
          <w:sz w:val="24"/>
          <w:szCs w:val="24"/>
        </w:rPr>
        <w:t>cademics on established contracts</w:t>
      </w:r>
      <w:r w:rsidR="000B2DF7">
        <w:rPr>
          <w:sz w:val="24"/>
          <w:szCs w:val="24"/>
        </w:rPr>
        <w:t xml:space="preserve"> (Figure 8)</w:t>
      </w:r>
      <w:r w:rsidR="001D27BC" w:rsidRPr="00996BF1">
        <w:rPr>
          <w:sz w:val="24"/>
          <w:szCs w:val="24"/>
        </w:rPr>
        <w:t>.</w:t>
      </w:r>
    </w:p>
    <w:p w:rsidR="009433A4" w:rsidRDefault="003D5AE0" w:rsidP="009433A4">
      <w:pPr>
        <w:keepNext/>
        <w:ind w:firstLine="0"/>
      </w:pPr>
      <w:r>
        <w:rPr>
          <w:noProof/>
        </w:rPr>
        <w:drawing>
          <wp:inline distT="0" distB="0" distL="0" distR="0" wp14:anchorId="5AD65E0B" wp14:editId="6CE2B412">
            <wp:extent cx="5396230" cy="2740025"/>
            <wp:effectExtent l="0" t="0" r="0" b="3175"/>
            <wp:docPr id="6" name="Pictur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B75B3" w:rsidRDefault="009433A4" w:rsidP="009433A4">
      <w:pPr>
        <w:pStyle w:val="Caption"/>
      </w:pPr>
      <w:bookmarkStart w:id="26" w:name="_Toc401575400"/>
      <w:r>
        <w:t xml:space="preserve">Figure </w:t>
      </w:r>
      <w:fldSimple w:instr=" SEQ Figure \* ARABIC ">
        <w:r w:rsidR="00784F84">
          <w:rPr>
            <w:noProof/>
          </w:rPr>
          <w:t>8</w:t>
        </w:r>
      </w:fldSimple>
      <w:r>
        <w:t>:  Employment status by gender</w:t>
      </w:r>
      <w:bookmarkEnd w:id="26"/>
    </w:p>
    <w:p w:rsidR="00071409" w:rsidRDefault="00071409" w:rsidP="00F86F08">
      <w:pPr>
        <w:ind w:firstLine="0"/>
      </w:pPr>
    </w:p>
    <w:p w:rsidR="00547100" w:rsidRDefault="00547100">
      <w:pPr>
        <w:rPr>
          <w:rFonts w:asciiTheme="majorHAnsi" w:eastAsiaTheme="majorEastAsia" w:hAnsiTheme="majorHAnsi" w:cstheme="majorBidi"/>
          <w:color w:val="365F91" w:themeColor="accent1" w:themeShade="BF"/>
          <w:sz w:val="24"/>
          <w:szCs w:val="24"/>
        </w:rPr>
      </w:pPr>
      <w:bookmarkStart w:id="27" w:name="_Toc400632050"/>
      <w:bookmarkStart w:id="28" w:name="_Toc401575364"/>
      <w:r>
        <w:rPr>
          <w:color w:val="365F91" w:themeColor="accent1" w:themeShade="BF"/>
        </w:rPr>
        <w:br w:type="page"/>
      </w:r>
    </w:p>
    <w:p w:rsidR="003D5AE0" w:rsidRPr="00381D1B" w:rsidRDefault="003D5AE0" w:rsidP="00F86F08">
      <w:pPr>
        <w:pStyle w:val="Heading3"/>
        <w:rPr>
          <w:color w:val="365F91" w:themeColor="accent1" w:themeShade="BF"/>
        </w:rPr>
      </w:pPr>
      <w:r w:rsidRPr="00381D1B">
        <w:rPr>
          <w:color w:val="365F91" w:themeColor="accent1" w:themeShade="BF"/>
        </w:rPr>
        <w:lastRenderedPageBreak/>
        <w:t>3.2.5 STEMM vs AHSS</w:t>
      </w:r>
      <w:bookmarkEnd w:id="27"/>
      <w:bookmarkEnd w:id="28"/>
    </w:p>
    <w:p w:rsidR="003D5AE0" w:rsidRPr="00996BF1" w:rsidRDefault="003D5AE0" w:rsidP="00F86F08">
      <w:pPr>
        <w:ind w:firstLine="0"/>
        <w:rPr>
          <w:sz w:val="24"/>
          <w:szCs w:val="24"/>
        </w:rPr>
      </w:pPr>
      <w:r w:rsidRPr="00996BF1">
        <w:rPr>
          <w:sz w:val="24"/>
          <w:szCs w:val="24"/>
        </w:rPr>
        <w:t xml:space="preserve">Female </w:t>
      </w:r>
      <w:proofErr w:type="gramStart"/>
      <w:r w:rsidRPr="00996BF1">
        <w:rPr>
          <w:sz w:val="24"/>
          <w:szCs w:val="24"/>
        </w:rPr>
        <w:t>staff comprise</w:t>
      </w:r>
      <w:proofErr w:type="gramEnd"/>
      <w:r w:rsidRPr="00996BF1">
        <w:rPr>
          <w:sz w:val="24"/>
          <w:szCs w:val="24"/>
        </w:rPr>
        <w:t xml:space="preserve"> 45.4% and 53.5% of all STEMM and AHSS staff respectively</w:t>
      </w:r>
      <w:r w:rsidR="000B2DF7">
        <w:rPr>
          <w:sz w:val="24"/>
          <w:szCs w:val="24"/>
        </w:rPr>
        <w:t xml:space="preserve"> (Figure 9)</w:t>
      </w:r>
      <w:r w:rsidR="00472598">
        <w:rPr>
          <w:sz w:val="24"/>
          <w:szCs w:val="24"/>
        </w:rPr>
        <w:t>.  Female A</w:t>
      </w:r>
      <w:r w:rsidRPr="00996BF1">
        <w:rPr>
          <w:sz w:val="24"/>
          <w:szCs w:val="24"/>
        </w:rPr>
        <w:t xml:space="preserve">cademics in STEMM and </w:t>
      </w:r>
      <w:r w:rsidR="00472598">
        <w:rPr>
          <w:sz w:val="24"/>
          <w:szCs w:val="24"/>
        </w:rPr>
        <w:t>AHSS comprise 20.0% and 39% of A</w:t>
      </w:r>
      <w:r w:rsidRPr="00996BF1">
        <w:rPr>
          <w:sz w:val="24"/>
          <w:szCs w:val="24"/>
        </w:rPr>
        <w:t xml:space="preserve">cademic staff respectively.  </w:t>
      </w:r>
    </w:p>
    <w:p w:rsidR="009433A4" w:rsidRDefault="003D5AE0" w:rsidP="009433A4">
      <w:pPr>
        <w:keepNext/>
        <w:ind w:firstLine="0"/>
      </w:pPr>
      <w:r>
        <w:rPr>
          <w:noProof/>
        </w:rPr>
        <w:drawing>
          <wp:inline distT="0" distB="0" distL="0" distR="0" wp14:anchorId="5022FBD7" wp14:editId="6924571F">
            <wp:extent cx="4568825" cy="2740025"/>
            <wp:effectExtent l="0" t="0" r="3175" b="3175"/>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433A4" w:rsidRDefault="009433A4" w:rsidP="009433A4">
      <w:pPr>
        <w:pStyle w:val="Caption"/>
      </w:pPr>
      <w:bookmarkStart w:id="29" w:name="_Toc401575401"/>
      <w:r>
        <w:t xml:space="preserve">Figure </w:t>
      </w:r>
      <w:fldSimple w:instr=" SEQ Figure \* ARABIC ">
        <w:r w:rsidR="00784F84">
          <w:rPr>
            <w:noProof/>
          </w:rPr>
          <w:t>9</w:t>
        </w:r>
      </w:fldSimple>
      <w:r>
        <w:t>:  Ov</w:t>
      </w:r>
      <w:r w:rsidR="00472598">
        <w:t>erall STEMM vs AHSS as well as A</w:t>
      </w:r>
      <w:r>
        <w:t>cademics by gender</w:t>
      </w:r>
      <w:bookmarkEnd w:id="29"/>
    </w:p>
    <w:p w:rsidR="008D623A" w:rsidRDefault="004166AB" w:rsidP="002144BE">
      <w:pPr>
        <w:ind w:firstLine="0"/>
      </w:pPr>
      <w:r>
        <w:t xml:space="preserve"> </w:t>
      </w:r>
    </w:p>
    <w:p w:rsidR="008D623A" w:rsidRDefault="008D623A" w:rsidP="00F86F08">
      <w:pPr>
        <w:ind w:firstLine="0"/>
      </w:pPr>
    </w:p>
    <w:p w:rsidR="008D623A" w:rsidRPr="00381D1B" w:rsidRDefault="008D623A" w:rsidP="00F86F08">
      <w:pPr>
        <w:pStyle w:val="Heading3"/>
        <w:rPr>
          <w:color w:val="365F91" w:themeColor="accent1" w:themeShade="BF"/>
        </w:rPr>
      </w:pPr>
      <w:bookmarkStart w:id="30" w:name="_Toc400632051"/>
      <w:bookmarkStart w:id="31" w:name="_Toc401575365"/>
      <w:r w:rsidRPr="00381D1B">
        <w:rPr>
          <w:color w:val="365F91" w:themeColor="accent1" w:themeShade="BF"/>
        </w:rPr>
        <w:t>3.2.6 Senior University Committees</w:t>
      </w:r>
      <w:bookmarkEnd w:id="30"/>
      <w:bookmarkEnd w:id="31"/>
    </w:p>
    <w:p w:rsidR="000B2DF7" w:rsidRDefault="00F333F3" w:rsidP="00F86F08">
      <w:pPr>
        <w:ind w:firstLine="0"/>
        <w:rPr>
          <w:sz w:val="24"/>
          <w:szCs w:val="24"/>
        </w:rPr>
      </w:pPr>
      <w:r>
        <w:rPr>
          <w:sz w:val="24"/>
          <w:szCs w:val="24"/>
        </w:rPr>
        <w:t xml:space="preserve">Senior University Committees have a total of 158 occupied positions; several roles are taken up by the same person or are currently vacant.  27.9% (44) of members are female staff.  Female </w:t>
      </w:r>
      <w:proofErr w:type="gramStart"/>
      <w:r w:rsidR="003A2D4E">
        <w:rPr>
          <w:sz w:val="24"/>
          <w:szCs w:val="24"/>
        </w:rPr>
        <w:t>staff make</w:t>
      </w:r>
      <w:proofErr w:type="gramEnd"/>
      <w:r>
        <w:rPr>
          <w:sz w:val="24"/>
          <w:szCs w:val="24"/>
        </w:rPr>
        <w:t xml:space="preserve"> up 41.6% of the Council, which is the largest committee.  </w:t>
      </w:r>
      <w:r w:rsidR="000B2DF7">
        <w:rPr>
          <w:sz w:val="24"/>
          <w:szCs w:val="24"/>
        </w:rPr>
        <w:t>Figure 10 demonstrates the gender breakdown across the senior administration of the University.</w:t>
      </w:r>
    </w:p>
    <w:p w:rsidR="006D2F54" w:rsidRDefault="006D2F54" w:rsidP="00F86F08">
      <w:pPr>
        <w:ind w:firstLine="0"/>
        <w:rPr>
          <w:sz w:val="24"/>
          <w:szCs w:val="24"/>
        </w:rPr>
      </w:pPr>
    </w:p>
    <w:p w:rsidR="00996D4C" w:rsidRDefault="00996D4C" w:rsidP="00996D4C">
      <w:pPr>
        <w:pStyle w:val="Caption"/>
        <w:keepNext/>
      </w:pPr>
      <w:r>
        <w:t xml:space="preserve">Table </w:t>
      </w:r>
      <w:fldSimple w:instr=" SEQ Table \* ARABIC ">
        <w:r w:rsidR="00784F84">
          <w:rPr>
            <w:noProof/>
          </w:rPr>
          <w:t>2</w:t>
        </w:r>
      </w:fldSimple>
      <w:r>
        <w:t>:  % Female</w:t>
      </w:r>
    </w:p>
    <w:tbl>
      <w:tblPr>
        <w:tblW w:w="4508" w:type="dxa"/>
        <w:tblInd w:w="93" w:type="dxa"/>
        <w:tblLook w:val="04A0" w:firstRow="1" w:lastRow="0" w:firstColumn="1" w:lastColumn="0" w:noHBand="0" w:noVBand="1"/>
      </w:tblPr>
      <w:tblGrid>
        <w:gridCol w:w="3744"/>
        <w:gridCol w:w="764"/>
      </w:tblGrid>
      <w:tr w:rsidR="00996D4C" w:rsidRPr="00996D4C" w:rsidTr="00996D4C">
        <w:trPr>
          <w:trHeight w:val="300"/>
        </w:trPr>
        <w:tc>
          <w:tcPr>
            <w:tcW w:w="450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96D4C" w:rsidRPr="00996D4C" w:rsidRDefault="00996D4C" w:rsidP="00996D4C">
            <w:pPr>
              <w:ind w:firstLine="0"/>
              <w:jc w:val="center"/>
              <w:rPr>
                <w:rFonts w:ascii="Calibri" w:eastAsia="Times New Roman" w:hAnsi="Calibri" w:cs="Times New Roman"/>
                <w:b/>
                <w:bCs/>
                <w:color w:val="000000"/>
              </w:rPr>
            </w:pPr>
            <w:r w:rsidRPr="00996D4C">
              <w:rPr>
                <w:rFonts w:ascii="Calibri" w:eastAsia="Times New Roman" w:hAnsi="Calibri" w:cs="Times New Roman"/>
                <w:b/>
                <w:bCs/>
                <w:color w:val="000000"/>
              </w:rPr>
              <w:t>Senior Committees</w:t>
            </w:r>
          </w:p>
        </w:tc>
      </w:tr>
      <w:tr w:rsidR="00996D4C" w:rsidRPr="00996D4C" w:rsidTr="00996D4C">
        <w:trPr>
          <w:trHeight w:val="300"/>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rsidR="00996D4C" w:rsidRPr="00996D4C" w:rsidRDefault="00996D4C" w:rsidP="00996D4C">
            <w:pPr>
              <w:ind w:firstLine="0"/>
              <w:rPr>
                <w:rFonts w:ascii="Calibri" w:eastAsia="Times New Roman" w:hAnsi="Calibri" w:cs="Times New Roman"/>
                <w:color w:val="000000"/>
              </w:rPr>
            </w:pPr>
            <w:r w:rsidRPr="00996D4C">
              <w:rPr>
                <w:rFonts w:ascii="Calibri" w:eastAsia="Times New Roman" w:hAnsi="Calibri" w:cs="Times New Roman"/>
                <w:color w:val="000000"/>
              </w:rPr>
              <w:t>Audit Committee</w:t>
            </w:r>
          </w:p>
        </w:tc>
        <w:tc>
          <w:tcPr>
            <w:tcW w:w="764" w:type="dxa"/>
            <w:tcBorders>
              <w:top w:val="nil"/>
              <w:left w:val="nil"/>
              <w:bottom w:val="single" w:sz="4" w:space="0" w:color="auto"/>
              <w:right w:val="single" w:sz="4" w:space="0" w:color="auto"/>
            </w:tcBorders>
            <w:shd w:val="clear" w:color="auto" w:fill="auto"/>
            <w:noWrap/>
            <w:vAlign w:val="bottom"/>
            <w:hideMark/>
          </w:tcPr>
          <w:p w:rsidR="00996D4C" w:rsidRPr="00996D4C" w:rsidRDefault="00996D4C" w:rsidP="00996D4C">
            <w:pPr>
              <w:ind w:firstLine="0"/>
              <w:jc w:val="right"/>
              <w:rPr>
                <w:rFonts w:ascii="Calibri" w:eastAsia="Times New Roman" w:hAnsi="Calibri" w:cs="Times New Roman"/>
                <w:color w:val="000000"/>
              </w:rPr>
            </w:pPr>
            <w:r w:rsidRPr="00996D4C">
              <w:rPr>
                <w:rFonts w:ascii="Calibri" w:eastAsia="Times New Roman" w:hAnsi="Calibri" w:cs="Times New Roman"/>
                <w:color w:val="000000"/>
              </w:rPr>
              <w:t>30.0%</w:t>
            </w:r>
          </w:p>
        </w:tc>
      </w:tr>
      <w:tr w:rsidR="00996D4C" w:rsidRPr="00996D4C" w:rsidTr="00996D4C">
        <w:trPr>
          <w:trHeight w:val="300"/>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rsidR="00996D4C" w:rsidRPr="00996D4C" w:rsidRDefault="00996D4C" w:rsidP="00996D4C">
            <w:pPr>
              <w:ind w:firstLine="0"/>
              <w:rPr>
                <w:rFonts w:ascii="Calibri" w:eastAsia="Times New Roman" w:hAnsi="Calibri" w:cs="Times New Roman"/>
                <w:color w:val="000000"/>
              </w:rPr>
            </w:pPr>
            <w:r w:rsidRPr="00996D4C">
              <w:rPr>
                <w:rFonts w:ascii="Calibri" w:eastAsia="Times New Roman" w:hAnsi="Calibri" w:cs="Times New Roman"/>
                <w:color w:val="000000"/>
              </w:rPr>
              <w:t>Board of Scrutiny</w:t>
            </w:r>
          </w:p>
        </w:tc>
        <w:tc>
          <w:tcPr>
            <w:tcW w:w="764" w:type="dxa"/>
            <w:tcBorders>
              <w:top w:val="nil"/>
              <w:left w:val="nil"/>
              <w:bottom w:val="single" w:sz="4" w:space="0" w:color="auto"/>
              <w:right w:val="single" w:sz="4" w:space="0" w:color="auto"/>
            </w:tcBorders>
            <w:shd w:val="clear" w:color="auto" w:fill="auto"/>
            <w:noWrap/>
            <w:vAlign w:val="bottom"/>
            <w:hideMark/>
          </w:tcPr>
          <w:p w:rsidR="00996D4C" w:rsidRPr="00996D4C" w:rsidRDefault="00996D4C" w:rsidP="00996D4C">
            <w:pPr>
              <w:ind w:firstLine="0"/>
              <w:jc w:val="right"/>
              <w:rPr>
                <w:rFonts w:ascii="Calibri" w:eastAsia="Times New Roman" w:hAnsi="Calibri" w:cs="Times New Roman"/>
                <w:color w:val="000000"/>
              </w:rPr>
            </w:pPr>
            <w:r w:rsidRPr="00996D4C">
              <w:rPr>
                <w:rFonts w:ascii="Calibri" w:eastAsia="Times New Roman" w:hAnsi="Calibri" w:cs="Times New Roman"/>
                <w:color w:val="000000"/>
              </w:rPr>
              <w:t>33.3%</w:t>
            </w:r>
          </w:p>
        </w:tc>
      </w:tr>
      <w:tr w:rsidR="00996D4C" w:rsidRPr="00996D4C" w:rsidTr="00996D4C">
        <w:trPr>
          <w:trHeight w:val="300"/>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rsidR="00996D4C" w:rsidRPr="00996D4C" w:rsidRDefault="00996D4C" w:rsidP="00996D4C">
            <w:pPr>
              <w:ind w:firstLine="0"/>
              <w:rPr>
                <w:rFonts w:ascii="Calibri" w:eastAsia="Times New Roman" w:hAnsi="Calibri" w:cs="Times New Roman"/>
                <w:color w:val="000000"/>
              </w:rPr>
            </w:pPr>
            <w:r w:rsidRPr="00996D4C">
              <w:rPr>
                <w:rFonts w:ascii="Calibri" w:eastAsia="Times New Roman" w:hAnsi="Calibri" w:cs="Times New Roman"/>
                <w:color w:val="000000"/>
              </w:rPr>
              <w:t>Council</w:t>
            </w:r>
          </w:p>
        </w:tc>
        <w:tc>
          <w:tcPr>
            <w:tcW w:w="764" w:type="dxa"/>
            <w:tcBorders>
              <w:top w:val="nil"/>
              <w:left w:val="nil"/>
              <w:bottom w:val="single" w:sz="4" w:space="0" w:color="auto"/>
              <w:right w:val="single" w:sz="4" w:space="0" w:color="auto"/>
            </w:tcBorders>
            <w:shd w:val="clear" w:color="auto" w:fill="auto"/>
            <w:noWrap/>
            <w:vAlign w:val="bottom"/>
            <w:hideMark/>
          </w:tcPr>
          <w:p w:rsidR="00996D4C" w:rsidRPr="00996D4C" w:rsidRDefault="00996D4C" w:rsidP="00996D4C">
            <w:pPr>
              <w:ind w:firstLine="0"/>
              <w:jc w:val="right"/>
              <w:rPr>
                <w:rFonts w:ascii="Calibri" w:eastAsia="Times New Roman" w:hAnsi="Calibri" w:cs="Times New Roman"/>
                <w:color w:val="000000"/>
              </w:rPr>
            </w:pPr>
            <w:r w:rsidRPr="00996D4C">
              <w:rPr>
                <w:rFonts w:ascii="Calibri" w:eastAsia="Times New Roman" w:hAnsi="Calibri" w:cs="Times New Roman"/>
                <w:color w:val="000000"/>
              </w:rPr>
              <w:t>41.7%</w:t>
            </w:r>
          </w:p>
        </w:tc>
      </w:tr>
      <w:tr w:rsidR="00996D4C" w:rsidRPr="00996D4C" w:rsidTr="00996D4C">
        <w:trPr>
          <w:trHeight w:val="300"/>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rsidR="00996D4C" w:rsidRPr="00996D4C" w:rsidRDefault="00996D4C" w:rsidP="00996D4C">
            <w:pPr>
              <w:ind w:firstLine="0"/>
              <w:rPr>
                <w:rFonts w:ascii="Calibri" w:eastAsia="Times New Roman" w:hAnsi="Calibri" w:cs="Times New Roman"/>
                <w:color w:val="000000"/>
              </w:rPr>
            </w:pPr>
            <w:r w:rsidRPr="00996D4C">
              <w:rPr>
                <w:rFonts w:ascii="Calibri" w:eastAsia="Times New Roman" w:hAnsi="Calibri" w:cs="Times New Roman"/>
                <w:color w:val="000000"/>
              </w:rPr>
              <w:t>Finance Committee</w:t>
            </w:r>
          </w:p>
        </w:tc>
        <w:tc>
          <w:tcPr>
            <w:tcW w:w="764" w:type="dxa"/>
            <w:tcBorders>
              <w:top w:val="nil"/>
              <w:left w:val="nil"/>
              <w:bottom w:val="single" w:sz="4" w:space="0" w:color="auto"/>
              <w:right w:val="single" w:sz="4" w:space="0" w:color="auto"/>
            </w:tcBorders>
            <w:shd w:val="clear" w:color="auto" w:fill="auto"/>
            <w:noWrap/>
            <w:vAlign w:val="bottom"/>
            <w:hideMark/>
          </w:tcPr>
          <w:p w:rsidR="00996D4C" w:rsidRPr="00996D4C" w:rsidRDefault="00996D4C" w:rsidP="00996D4C">
            <w:pPr>
              <w:ind w:firstLine="0"/>
              <w:jc w:val="right"/>
              <w:rPr>
                <w:rFonts w:ascii="Calibri" w:eastAsia="Times New Roman" w:hAnsi="Calibri" w:cs="Times New Roman"/>
                <w:color w:val="000000"/>
              </w:rPr>
            </w:pPr>
            <w:r w:rsidRPr="00996D4C">
              <w:rPr>
                <w:rFonts w:ascii="Calibri" w:eastAsia="Times New Roman" w:hAnsi="Calibri" w:cs="Times New Roman"/>
                <w:color w:val="000000"/>
              </w:rPr>
              <w:t>25.0%</w:t>
            </w:r>
          </w:p>
        </w:tc>
      </w:tr>
      <w:tr w:rsidR="00996D4C" w:rsidRPr="00996D4C" w:rsidTr="00996D4C">
        <w:trPr>
          <w:trHeight w:val="300"/>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rsidR="00996D4C" w:rsidRPr="00996D4C" w:rsidRDefault="00996D4C" w:rsidP="00996D4C">
            <w:pPr>
              <w:ind w:firstLine="0"/>
              <w:rPr>
                <w:rFonts w:ascii="Calibri" w:eastAsia="Times New Roman" w:hAnsi="Calibri" w:cs="Times New Roman"/>
                <w:color w:val="000000"/>
              </w:rPr>
            </w:pPr>
            <w:r w:rsidRPr="00996D4C">
              <w:rPr>
                <w:rFonts w:ascii="Calibri" w:eastAsia="Times New Roman" w:hAnsi="Calibri" w:cs="Times New Roman"/>
                <w:color w:val="000000"/>
              </w:rPr>
              <w:t>General Board of the Faculties</w:t>
            </w:r>
          </w:p>
        </w:tc>
        <w:tc>
          <w:tcPr>
            <w:tcW w:w="764" w:type="dxa"/>
            <w:tcBorders>
              <w:top w:val="nil"/>
              <w:left w:val="nil"/>
              <w:bottom w:val="single" w:sz="4" w:space="0" w:color="auto"/>
              <w:right w:val="single" w:sz="4" w:space="0" w:color="auto"/>
            </w:tcBorders>
            <w:shd w:val="clear" w:color="auto" w:fill="auto"/>
            <w:noWrap/>
            <w:vAlign w:val="bottom"/>
            <w:hideMark/>
          </w:tcPr>
          <w:p w:rsidR="00996D4C" w:rsidRPr="00996D4C" w:rsidRDefault="00996D4C" w:rsidP="00996D4C">
            <w:pPr>
              <w:ind w:firstLine="0"/>
              <w:jc w:val="right"/>
              <w:rPr>
                <w:rFonts w:ascii="Calibri" w:eastAsia="Times New Roman" w:hAnsi="Calibri" w:cs="Times New Roman"/>
                <w:color w:val="000000"/>
              </w:rPr>
            </w:pPr>
            <w:r w:rsidRPr="00996D4C">
              <w:rPr>
                <w:rFonts w:ascii="Calibri" w:eastAsia="Times New Roman" w:hAnsi="Calibri" w:cs="Times New Roman"/>
                <w:color w:val="000000"/>
              </w:rPr>
              <w:t>14.3%</w:t>
            </w:r>
          </w:p>
        </w:tc>
      </w:tr>
      <w:tr w:rsidR="00996D4C" w:rsidRPr="00996D4C" w:rsidTr="00996D4C">
        <w:trPr>
          <w:trHeight w:val="300"/>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rsidR="00996D4C" w:rsidRPr="00996D4C" w:rsidRDefault="00996D4C" w:rsidP="00996D4C">
            <w:pPr>
              <w:ind w:firstLine="0"/>
              <w:rPr>
                <w:rFonts w:ascii="Calibri" w:eastAsia="Times New Roman" w:hAnsi="Calibri" w:cs="Times New Roman"/>
                <w:color w:val="000000"/>
              </w:rPr>
            </w:pPr>
            <w:r w:rsidRPr="00996D4C">
              <w:rPr>
                <w:rFonts w:ascii="Calibri" w:eastAsia="Times New Roman" w:hAnsi="Calibri" w:cs="Times New Roman"/>
                <w:color w:val="000000"/>
              </w:rPr>
              <w:t>Planning and Resources Committee</w:t>
            </w:r>
          </w:p>
        </w:tc>
        <w:tc>
          <w:tcPr>
            <w:tcW w:w="764" w:type="dxa"/>
            <w:tcBorders>
              <w:top w:val="nil"/>
              <w:left w:val="nil"/>
              <w:bottom w:val="single" w:sz="4" w:space="0" w:color="auto"/>
              <w:right w:val="single" w:sz="4" w:space="0" w:color="auto"/>
            </w:tcBorders>
            <w:shd w:val="clear" w:color="auto" w:fill="auto"/>
            <w:noWrap/>
            <w:vAlign w:val="bottom"/>
            <w:hideMark/>
          </w:tcPr>
          <w:p w:rsidR="00996D4C" w:rsidRPr="00996D4C" w:rsidRDefault="00996D4C" w:rsidP="00996D4C">
            <w:pPr>
              <w:ind w:firstLine="0"/>
              <w:jc w:val="right"/>
              <w:rPr>
                <w:rFonts w:ascii="Calibri" w:eastAsia="Times New Roman" w:hAnsi="Calibri" w:cs="Times New Roman"/>
                <w:color w:val="000000"/>
              </w:rPr>
            </w:pPr>
            <w:r w:rsidRPr="00996D4C">
              <w:rPr>
                <w:rFonts w:ascii="Calibri" w:eastAsia="Times New Roman" w:hAnsi="Calibri" w:cs="Times New Roman"/>
                <w:color w:val="000000"/>
              </w:rPr>
              <w:t>33.3%</w:t>
            </w:r>
          </w:p>
        </w:tc>
      </w:tr>
      <w:tr w:rsidR="00996D4C" w:rsidRPr="00996D4C" w:rsidTr="00996D4C">
        <w:trPr>
          <w:trHeight w:val="300"/>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rsidR="00996D4C" w:rsidRPr="00996D4C" w:rsidRDefault="00996D4C" w:rsidP="00996D4C">
            <w:pPr>
              <w:ind w:firstLine="0"/>
              <w:rPr>
                <w:rFonts w:ascii="Calibri" w:eastAsia="Times New Roman" w:hAnsi="Calibri" w:cs="Times New Roman"/>
                <w:color w:val="000000"/>
              </w:rPr>
            </w:pPr>
            <w:r w:rsidRPr="00996D4C">
              <w:rPr>
                <w:rFonts w:ascii="Calibri" w:eastAsia="Times New Roman" w:hAnsi="Calibri" w:cs="Times New Roman"/>
                <w:color w:val="000000"/>
              </w:rPr>
              <w:t>Resource Management Committee</w:t>
            </w:r>
          </w:p>
        </w:tc>
        <w:tc>
          <w:tcPr>
            <w:tcW w:w="764" w:type="dxa"/>
            <w:tcBorders>
              <w:top w:val="nil"/>
              <w:left w:val="nil"/>
              <w:bottom w:val="single" w:sz="4" w:space="0" w:color="auto"/>
              <w:right w:val="single" w:sz="4" w:space="0" w:color="auto"/>
            </w:tcBorders>
            <w:shd w:val="clear" w:color="auto" w:fill="auto"/>
            <w:noWrap/>
            <w:vAlign w:val="bottom"/>
            <w:hideMark/>
          </w:tcPr>
          <w:p w:rsidR="00996D4C" w:rsidRPr="00996D4C" w:rsidRDefault="00996D4C" w:rsidP="00996D4C">
            <w:pPr>
              <w:ind w:firstLine="0"/>
              <w:jc w:val="right"/>
              <w:rPr>
                <w:rFonts w:ascii="Calibri" w:eastAsia="Times New Roman" w:hAnsi="Calibri" w:cs="Times New Roman"/>
                <w:color w:val="000000"/>
              </w:rPr>
            </w:pPr>
            <w:r w:rsidRPr="00996D4C">
              <w:rPr>
                <w:rFonts w:ascii="Calibri" w:eastAsia="Times New Roman" w:hAnsi="Calibri" w:cs="Times New Roman"/>
                <w:color w:val="000000"/>
              </w:rPr>
              <w:t>20.0%</w:t>
            </w:r>
          </w:p>
        </w:tc>
      </w:tr>
      <w:tr w:rsidR="00996D4C" w:rsidRPr="00996D4C" w:rsidTr="00996D4C">
        <w:trPr>
          <w:trHeight w:val="300"/>
        </w:trPr>
        <w:tc>
          <w:tcPr>
            <w:tcW w:w="450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96D4C" w:rsidRPr="00996D4C" w:rsidRDefault="00996D4C" w:rsidP="00996D4C">
            <w:pPr>
              <w:ind w:firstLine="0"/>
              <w:jc w:val="center"/>
              <w:rPr>
                <w:rFonts w:ascii="Calibri" w:eastAsia="Times New Roman" w:hAnsi="Calibri" w:cs="Times New Roman"/>
                <w:b/>
                <w:bCs/>
                <w:color w:val="000000"/>
              </w:rPr>
            </w:pPr>
            <w:r w:rsidRPr="00996D4C">
              <w:rPr>
                <w:rFonts w:ascii="Calibri" w:eastAsia="Times New Roman" w:hAnsi="Calibri" w:cs="Times New Roman"/>
                <w:b/>
                <w:bCs/>
                <w:color w:val="000000"/>
              </w:rPr>
              <w:t>Councils of Schools</w:t>
            </w:r>
          </w:p>
        </w:tc>
      </w:tr>
      <w:tr w:rsidR="00996D4C" w:rsidRPr="00996D4C" w:rsidTr="00996D4C">
        <w:trPr>
          <w:trHeight w:val="300"/>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rsidR="00996D4C" w:rsidRPr="00996D4C" w:rsidRDefault="00996D4C" w:rsidP="00996D4C">
            <w:pPr>
              <w:ind w:firstLine="0"/>
              <w:rPr>
                <w:rFonts w:ascii="Calibri" w:eastAsia="Times New Roman" w:hAnsi="Calibri" w:cs="Times New Roman"/>
                <w:color w:val="000000"/>
              </w:rPr>
            </w:pPr>
            <w:r w:rsidRPr="00996D4C">
              <w:rPr>
                <w:rFonts w:ascii="Calibri" w:eastAsia="Times New Roman" w:hAnsi="Calibri" w:cs="Times New Roman"/>
                <w:color w:val="000000"/>
              </w:rPr>
              <w:t>Arts and Humanities</w:t>
            </w:r>
          </w:p>
        </w:tc>
        <w:tc>
          <w:tcPr>
            <w:tcW w:w="764" w:type="dxa"/>
            <w:tcBorders>
              <w:top w:val="nil"/>
              <w:left w:val="nil"/>
              <w:bottom w:val="single" w:sz="4" w:space="0" w:color="auto"/>
              <w:right w:val="single" w:sz="4" w:space="0" w:color="auto"/>
            </w:tcBorders>
            <w:shd w:val="clear" w:color="auto" w:fill="auto"/>
            <w:noWrap/>
            <w:vAlign w:val="bottom"/>
            <w:hideMark/>
          </w:tcPr>
          <w:p w:rsidR="00996D4C" w:rsidRPr="00996D4C" w:rsidRDefault="00996D4C" w:rsidP="00996D4C">
            <w:pPr>
              <w:ind w:firstLine="0"/>
              <w:jc w:val="right"/>
              <w:rPr>
                <w:rFonts w:ascii="Calibri" w:eastAsia="Times New Roman" w:hAnsi="Calibri" w:cs="Times New Roman"/>
                <w:color w:val="000000"/>
              </w:rPr>
            </w:pPr>
            <w:r w:rsidRPr="00996D4C">
              <w:rPr>
                <w:rFonts w:ascii="Calibri" w:eastAsia="Times New Roman" w:hAnsi="Calibri" w:cs="Times New Roman"/>
                <w:color w:val="000000"/>
              </w:rPr>
              <w:t>23.1%</w:t>
            </w:r>
          </w:p>
        </w:tc>
      </w:tr>
      <w:tr w:rsidR="00996D4C" w:rsidRPr="00996D4C" w:rsidTr="00996D4C">
        <w:trPr>
          <w:trHeight w:val="300"/>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rsidR="00996D4C" w:rsidRPr="00996D4C" w:rsidRDefault="00996D4C" w:rsidP="00996D4C">
            <w:pPr>
              <w:ind w:firstLine="0"/>
              <w:rPr>
                <w:rFonts w:ascii="Calibri" w:eastAsia="Times New Roman" w:hAnsi="Calibri" w:cs="Times New Roman"/>
                <w:color w:val="000000"/>
              </w:rPr>
            </w:pPr>
            <w:r w:rsidRPr="00996D4C">
              <w:rPr>
                <w:rFonts w:ascii="Calibri" w:eastAsia="Times New Roman" w:hAnsi="Calibri" w:cs="Times New Roman"/>
                <w:color w:val="000000"/>
              </w:rPr>
              <w:t>Biological Sciences</w:t>
            </w:r>
          </w:p>
        </w:tc>
        <w:tc>
          <w:tcPr>
            <w:tcW w:w="764" w:type="dxa"/>
            <w:tcBorders>
              <w:top w:val="nil"/>
              <w:left w:val="nil"/>
              <w:bottom w:val="single" w:sz="4" w:space="0" w:color="auto"/>
              <w:right w:val="single" w:sz="4" w:space="0" w:color="auto"/>
            </w:tcBorders>
            <w:shd w:val="clear" w:color="auto" w:fill="auto"/>
            <w:noWrap/>
            <w:vAlign w:val="bottom"/>
            <w:hideMark/>
          </w:tcPr>
          <w:p w:rsidR="00996D4C" w:rsidRPr="00996D4C" w:rsidRDefault="00996D4C" w:rsidP="00996D4C">
            <w:pPr>
              <w:ind w:firstLine="0"/>
              <w:jc w:val="right"/>
              <w:rPr>
                <w:rFonts w:ascii="Calibri" w:eastAsia="Times New Roman" w:hAnsi="Calibri" w:cs="Times New Roman"/>
                <w:color w:val="000000"/>
              </w:rPr>
            </w:pPr>
            <w:r w:rsidRPr="00996D4C">
              <w:rPr>
                <w:rFonts w:ascii="Calibri" w:eastAsia="Times New Roman" w:hAnsi="Calibri" w:cs="Times New Roman"/>
                <w:color w:val="000000"/>
              </w:rPr>
              <w:t>20.0%</w:t>
            </w:r>
          </w:p>
        </w:tc>
      </w:tr>
      <w:tr w:rsidR="00996D4C" w:rsidRPr="00996D4C" w:rsidTr="00996D4C">
        <w:trPr>
          <w:trHeight w:val="300"/>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rsidR="00996D4C" w:rsidRPr="00996D4C" w:rsidRDefault="00996D4C" w:rsidP="00996D4C">
            <w:pPr>
              <w:ind w:firstLine="0"/>
              <w:rPr>
                <w:rFonts w:ascii="Calibri" w:eastAsia="Times New Roman" w:hAnsi="Calibri" w:cs="Times New Roman"/>
                <w:color w:val="000000"/>
              </w:rPr>
            </w:pPr>
            <w:r w:rsidRPr="00996D4C">
              <w:rPr>
                <w:rFonts w:ascii="Calibri" w:eastAsia="Times New Roman" w:hAnsi="Calibri" w:cs="Times New Roman"/>
                <w:color w:val="000000"/>
              </w:rPr>
              <w:t>Clinical Medicine</w:t>
            </w:r>
          </w:p>
        </w:tc>
        <w:tc>
          <w:tcPr>
            <w:tcW w:w="764" w:type="dxa"/>
            <w:tcBorders>
              <w:top w:val="nil"/>
              <w:left w:val="nil"/>
              <w:bottom w:val="single" w:sz="4" w:space="0" w:color="auto"/>
              <w:right w:val="single" w:sz="4" w:space="0" w:color="auto"/>
            </w:tcBorders>
            <w:shd w:val="clear" w:color="auto" w:fill="auto"/>
            <w:noWrap/>
            <w:vAlign w:val="bottom"/>
            <w:hideMark/>
          </w:tcPr>
          <w:p w:rsidR="00996D4C" w:rsidRPr="00996D4C" w:rsidRDefault="00996D4C" w:rsidP="00996D4C">
            <w:pPr>
              <w:ind w:firstLine="0"/>
              <w:jc w:val="right"/>
              <w:rPr>
                <w:rFonts w:ascii="Calibri" w:eastAsia="Times New Roman" w:hAnsi="Calibri" w:cs="Times New Roman"/>
                <w:color w:val="000000"/>
              </w:rPr>
            </w:pPr>
            <w:r w:rsidRPr="00996D4C">
              <w:rPr>
                <w:rFonts w:ascii="Calibri" w:eastAsia="Times New Roman" w:hAnsi="Calibri" w:cs="Times New Roman"/>
                <w:color w:val="000000"/>
              </w:rPr>
              <w:t>35.7%</w:t>
            </w:r>
          </w:p>
        </w:tc>
      </w:tr>
      <w:tr w:rsidR="00996D4C" w:rsidRPr="00996D4C" w:rsidTr="00996D4C">
        <w:trPr>
          <w:trHeight w:val="300"/>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rsidR="00996D4C" w:rsidRPr="00996D4C" w:rsidRDefault="00996D4C" w:rsidP="00996D4C">
            <w:pPr>
              <w:ind w:firstLine="0"/>
              <w:rPr>
                <w:rFonts w:ascii="Calibri" w:eastAsia="Times New Roman" w:hAnsi="Calibri" w:cs="Times New Roman"/>
                <w:color w:val="000000"/>
              </w:rPr>
            </w:pPr>
            <w:r w:rsidRPr="00996D4C">
              <w:rPr>
                <w:rFonts w:ascii="Calibri" w:eastAsia="Times New Roman" w:hAnsi="Calibri" w:cs="Times New Roman"/>
                <w:color w:val="000000"/>
              </w:rPr>
              <w:t>Humanities and Social Sciences</w:t>
            </w:r>
          </w:p>
        </w:tc>
        <w:tc>
          <w:tcPr>
            <w:tcW w:w="764" w:type="dxa"/>
            <w:tcBorders>
              <w:top w:val="nil"/>
              <w:left w:val="nil"/>
              <w:bottom w:val="single" w:sz="4" w:space="0" w:color="auto"/>
              <w:right w:val="single" w:sz="4" w:space="0" w:color="auto"/>
            </w:tcBorders>
            <w:shd w:val="clear" w:color="auto" w:fill="auto"/>
            <w:noWrap/>
            <w:vAlign w:val="bottom"/>
            <w:hideMark/>
          </w:tcPr>
          <w:p w:rsidR="00996D4C" w:rsidRPr="00996D4C" w:rsidRDefault="00996D4C" w:rsidP="00996D4C">
            <w:pPr>
              <w:ind w:firstLine="0"/>
              <w:jc w:val="right"/>
              <w:rPr>
                <w:rFonts w:ascii="Calibri" w:eastAsia="Times New Roman" w:hAnsi="Calibri" w:cs="Times New Roman"/>
                <w:color w:val="000000"/>
              </w:rPr>
            </w:pPr>
            <w:r w:rsidRPr="00996D4C">
              <w:rPr>
                <w:rFonts w:ascii="Calibri" w:eastAsia="Times New Roman" w:hAnsi="Calibri" w:cs="Times New Roman"/>
                <w:color w:val="000000"/>
              </w:rPr>
              <w:t>11.1%</w:t>
            </w:r>
          </w:p>
        </w:tc>
      </w:tr>
      <w:tr w:rsidR="00996D4C" w:rsidRPr="00996D4C" w:rsidTr="00996D4C">
        <w:trPr>
          <w:trHeight w:val="300"/>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rsidR="00996D4C" w:rsidRPr="00996D4C" w:rsidRDefault="00996D4C" w:rsidP="00996D4C">
            <w:pPr>
              <w:ind w:firstLine="0"/>
              <w:rPr>
                <w:rFonts w:ascii="Calibri" w:eastAsia="Times New Roman" w:hAnsi="Calibri" w:cs="Times New Roman"/>
                <w:color w:val="000000"/>
              </w:rPr>
            </w:pPr>
            <w:r w:rsidRPr="00996D4C">
              <w:rPr>
                <w:rFonts w:ascii="Calibri" w:eastAsia="Times New Roman" w:hAnsi="Calibri" w:cs="Times New Roman"/>
                <w:color w:val="000000"/>
              </w:rPr>
              <w:t>Human Resources Committee</w:t>
            </w:r>
          </w:p>
        </w:tc>
        <w:tc>
          <w:tcPr>
            <w:tcW w:w="764" w:type="dxa"/>
            <w:tcBorders>
              <w:top w:val="nil"/>
              <w:left w:val="nil"/>
              <w:bottom w:val="single" w:sz="4" w:space="0" w:color="auto"/>
              <w:right w:val="single" w:sz="4" w:space="0" w:color="auto"/>
            </w:tcBorders>
            <w:shd w:val="clear" w:color="auto" w:fill="auto"/>
            <w:noWrap/>
            <w:vAlign w:val="bottom"/>
            <w:hideMark/>
          </w:tcPr>
          <w:p w:rsidR="00996D4C" w:rsidRPr="00996D4C" w:rsidRDefault="00996D4C" w:rsidP="00996D4C">
            <w:pPr>
              <w:ind w:firstLine="0"/>
              <w:jc w:val="right"/>
              <w:rPr>
                <w:rFonts w:ascii="Calibri" w:eastAsia="Times New Roman" w:hAnsi="Calibri" w:cs="Times New Roman"/>
                <w:color w:val="000000"/>
              </w:rPr>
            </w:pPr>
            <w:r w:rsidRPr="00996D4C">
              <w:rPr>
                <w:rFonts w:ascii="Calibri" w:eastAsia="Times New Roman" w:hAnsi="Calibri" w:cs="Times New Roman"/>
                <w:color w:val="000000"/>
              </w:rPr>
              <w:t>44.4%</w:t>
            </w:r>
          </w:p>
        </w:tc>
      </w:tr>
      <w:tr w:rsidR="00996D4C" w:rsidRPr="00996D4C" w:rsidTr="00996D4C">
        <w:trPr>
          <w:trHeight w:val="300"/>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rsidR="00996D4C" w:rsidRPr="00996D4C" w:rsidRDefault="00996D4C" w:rsidP="00996D4C">
            <w:pPr>
              <w:ind w:firstLine="0"/>
              <w:rPr>
                <w:rFonts w:ascii="Calibri" w:eastAsia="Times New Roman" w:hAnsi="Calibri" w:cs="Times New Roman"/>
                <w:color w:val="000000"/>
              </w:rPr>
            </w:pPr>
            <w:r w:rsidRPr="00996D4C">
              <w:rPr>
                <w:rFonts w:ascii="Calibri" w:eastAsia="Times New Roman" w:hAnsi="Calibri" w:cs="Times New Roman"/>
                <w:color w:val="000000"/>
              </w:rPr>
              <w:t>Physical Sciences</w:t>
            </w:r>
          </w:p>
        </w:tc>
        <w:tc>
          <w:tcPr>
            <w:tcW w:w="764" w:type="dxa"/>
            <w:tcBorders>
              <w:top w:val="nil"/>
              <w:left w:val="nil"/>
              <w:bottom w:val="single" w:sz="4" w:space="0" w:color="auto"/>
              <w:right w:val="single" w:sz="4" w:space="0" w:color="auto"/>
            </w:tcBorders>
            <w:shd w:val="clear" w:color="auto" w:fill="auto"/>
            <w:noWrap/>
            <w:vAlign w:val="bottom"/>
            <w:hideMark/>
          </w:tcPr>
          <w:p w:rsidR="00996D4C" w:rsidRPr="00996D4C" w:rsidRDefault="00996D4C" w:rsidP="00996D4C">
            <w:pPr>
              <w:ind w:firstLine="0"/>
              <w:jc w:val="right"/>
              <w:rPr>
                <w:rFonts w:ascii="Calibri" w:eastAsia="Times New Roman" w:hAnsi="Calibri" w:cs="Times New Roman"/>
                <w:color w:val="000000"/>
              </w:rPr>
            </w:pPr>
            <w:r w:rsidRPr="00996D4C">
              <w:rPr>
                <w:rFonts w:ascii="Calibri" w:eastAsia="Times New Roman" w:hAnsi="Calibri" w:cs="Times New Roman"/>
                <w:color w:val="000000"/>
              </w:rPr>
              <w:t>20.0%</w:t>
            </w:r>
          </w:p>
        </w:tc>
      </w:tr>
      <w:tr w:rsidR="00996D4C" w:rsidRPr="00996D4C" w:rsidTr="00996D4C">
        <w:trPr>
          <w:trHeight w:val="300"/>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rsidR="00996D4C" w:rsidRPr="00996D4C" w:rsidRDefault="00996D4C" w:rsidP="00996D4C">
            <w:pPr>
              <w:ind w:firstLine="0"/>
              <w:rPr>
                <w:rFonts w:ascii="Calibri" w:eastAsia="Times New Roman" w:hAnsi="Calibri" w:cs="Times New Roman"/>
                <w:color w:val="000000"/>
              </w:rPr>
            </w:pPr>
            <w:r w:rsidRPr="00996D4C">
              <w:rPr>
                <w:rFonts w:ascii="Calibri" w:eastAsia="Times New Roman" w:hAnsi="Calibri" w:cs="Times New Roman"/>
                <w:color w:val="000000"/>
              </w:rPr>
              <w:t>Technology</w:t>
            </w:r>
          </w:p>
        </w:tc>
        <w:tc>
          <w:tcPr>
            <w:tcW w:w="764" w:type="dxa"/>
            <w:tcBorders>
              <w:top w:val="nil"/>
              <w:left w:val="nil"/>
              <w:bottom w:val="single" w:sz="4" w:space="0" w:color="auto"/>
              <w:right w:val="single" w:sz="4" w:space="0" w:color="auto"/>
            </w:tcBorders>
            <w:shd w:val="clear" w:color="auto" w:fill="auto"/>
            <w:noWrap/>
            <w:vAlign w:val="bottom"/>
            <w:hideMark/>
          </w:tcPr>
          <w:p w:rsidR="00996D4C" w:rsidRPr="00996D4C" w:rsidRDefault="00996D4C" w:rsidP="00996D4C">
            <w:pPr>
              <w:ind w:firstLine="0"/>
              <w:jc w:val="right"/>
              <w:rPr>
                <w:rFonts w:ascii="Calibri" w:eastAsia="Times New Roman" w:hAnsi="Calibri" w:cs="Times New Roman"/>
                <w:color w:val="000000"/>
              </w:rPr>
            </w:pPr>
            <w:r w:rsidRPr="00996D4C">
              <w:rPr>
                <w:rFonts w:ascii="Calibri" w:eastAsia="Times New Roman" w:hAnsi="Calibri" w:cs="Times New Roman"/>
                <w:color w:val="000000"/>
              </w:rPr>
              <w:t>23.1%</w:t>
            </w:r>
          </w:p>
        </w:tc>
      </w:tr>
      <w:tr w:rsidR="00996D4C" w:rsidRPr="00996D4C" w:rsidTr="00996D4C">
        <w:trPr>
          <w:trHeight w:val="300"/>
        </w:trPr>
        <w:tc>
          <w:tcPr>
            <w:tcW w:w="450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96D4C" w:rsidRPr="00996D4C" w:rsidRDefault="00996D4C" w:rsidP="00996D4C">
            <w:pPr>
              <w:ind w:firstLine="0"/>
              <w:rPr>
                <w:rFonts w:ascii="Calibri" w:eastAsia="Times New Roman" w:hAnsi="Calibri" w:cs="Times New Roman"/>
                <w:color w:val="000000"/>
              </w:rPr>
            </w:pPr>
            <w:r w:rsidRPr="00996D4C">
              <w:rPr>
                <w:rFonts w:ascii="Calibri" w:eastAsia="Times New Roman" w:hAnsi="Calibri" w:cs="Times New Roman"/>
                <w:color w:val="000000"/>
              </w:rPr>
              <w:t xml:space="preserve">Note:  May include </w:t>
            </w:r>
            <w:r>
              <w:rPr>
                <w:rFonts w:ascii="Calibri" w:eastAsia="Times New Roman" w:hAnsi="Calibri" w:cs="Times New Roman"/>
                <w:color w:val="000000"/>
              </w:rPr>
              <w:t xml:space="preserve">any of </w:t>
            </w:r>
            <w:r w:rsidRPr="00996D4C">
              <w:rPr>
                <w:rFonts w:ascii="Calibri" w:eastAsia="Times New Roman" w:hAnsi="Calibri" w:cs="Times New Roman"/>
                <w:color w:val="000000"/>
              </w:rPr>
              <w:t>appointed members, elected members and ex officio members</w:t>
            </w:r>
          </w:p>
        </w:tc>
      </w:tr>
      <w:tr w:rsidR="00996D4C" w:rsidRPr="00996D4C" w:rsidTr="00996D4C">
        <w:trPr>
          <w:trHeight w:val="300"/>
        </w:trPr>
        <w:tc>
          <w:tcPr>
            <w:tcW w:w="4508" w:type="dxa"/>
            <w:gridSpan w:val="2"/>
            <w:vMerge/>
            <w:tcBorders>
              <w:top w:val="single" w:sz="4" w:space="0" w:color="auto"/>
              <w:left w:val="single" w:sz="4" w:space="0" w:color="auto"/>
              <w:bottom w:val="single" w:sz="4" w:space="0" w:color="auto"/>
              <w:right w:val="single" w:sz="4" w:space="0" w:color="auto"/>
            </w:tcBorders>
            <w:vAlign w:val="center"/>
            <w:hideMark/>
          </w:tcPr>
          <w:p w:rsidR="00996D4C" w:rsidRPr="00996D4C" w:rsidRDefault="00996D4C" w:rsidP="00996D4C">
            <w:pPr>
              <w:ind w:firstLine="0"/>
              <w:rPr>
                <w:rFonts w:ascii="Calibri" w:eastAsia="Times New Roman" w:hAnsi="Calibri" w:cs="Times New Roman"/>
                <w:color w:val="000000"/>
              </w:rPr>
            </w:pPr>
          </w:p>
        </w:tc>
      </w:tr>
    </w:tbl>
    <w:p w:rsidR="006D2F54" w:rsidRDefault="006D2F54" w:rsidP="00F86F08">
      <w:pPr>
        <w:ind w:firstLine="0"/>
        <w:rPr>
          <w:sz w:val="24"/>
          <w:szCs w:val="24"/>
        </w:rPr>
      </w:pPr>
    </w:p>
    <w:p w:rsidR="006D2F54" w:rsidRDefault="006D2F54" w:rsidP="00F86F08">
      <w:pPr>
        <w:ind w:firstLine="0"/>
        <w:rPr>
          <w:sz w:val="24"/>
          <w:szCs w:val="24"/>
        </w:rPr>
      </w:pPr>
    </w:p>
    <w:p w:rsidR="006D2F54" w:rsidRDefault="006D2F54" w:rsidP="00F86F08">
      <w:pPr>
        <w:ind w:firstLine="0"/>
        <w:rPr>
          <w:sz w:val="24"/>
          <w:szCs w:val="24"/>
        </w:rPr>
      </w:pPr>
    </w:p>
    <w:p w:rsidR="000B2DF7" w:rsidRDefault="00F621A5" w:rsidP="000B2DF7">
      <w:pPr>
        <w:keepNext/>
        <w:ind w:firstLine="0"/>
      </w:pPr>
      <w:r>
        <w:rPr>
          <w:noProof/>
          <w:sz w:val="24"/>
          <w:szCs w:val="24"/>
        </w:rPr>
        <w:drawing>
          <wp:inline distT="0" distB="0" distL="0" distR="0" wp14:anchorId="322F2F4E" wp14:editId="5736A484">
            <wp:extent cx="6264275" cy="410146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ofpower.PNG"/>
                    <pic:cNvPicPr/>
                  </pic:nvPicPr>
                  <pic:blipFill>
                    <a:blip r:embed="rId23">
                      <a:extLst>
                        <a:ext uri="{28A0092B-C50C-407E-A947-70E740481C1C}">
                          <a14:useLocalDpi xmlns:a14="http://schemas.microsoft.com/office/drawing/2010/main" val="0"/>
                        </a:ext>
                      </a:extLst>
                    </a:blip>
                    <a:stretch>
                      <a:fillRect/>
                    </a:stretch>
                  </pic:blipFill>
                  <pic:spPr>
                    <a:xfrm>
                      <a:off x="0" y="0"/>
                      <a:ext cx="6264275" cy="4101465"/>
                    </a:xfrm>
                    <a:prstGeom prst="rect">
                      <a:avLst/>
                    </a:prstGeom>
                  </pic:spPr>
                </pic:pic>
              </a:graphicData>
            </a:graphic>
          </wp:inline>
        </w:drawing>
      </w:r>
    </w:p>
    <w:p w:rsidR="00F621A5" w:rsidRDefault="000B2DF7" w:rsidP="000B2DF7">
      <w:pPr>
        <w:pStyle w:val="Caption"/>
        <w:rPr>
          <w:sz w:val="24"/>
          <w:szCs w:val="24"/>
        </w:rPr>
      </w:pPr>
      <w:bookmarkStart w:id="32" w:name="_Toc401575402"/>
      <w:r>
        <w:t xml:space="preserve">Figure </w:t>
      </w:r>
      <w:fldSimple w:instr=" SEQ Figure \* ARABIC ">
        <w:r w:rsidR="00784F84">
          <w:rPr>
            <w:noProof/>
          </w:rPr>
          <w:t>10</w:t>
        </w:r>
      </w:fldSimple>
      <w:r>
        <w:t>: Pyramid of Power</w:t>
      </w:r>
      <w:bookmarkEnd w:id="32"/>
    </w:p>
    <w:p w:rsidR="00F621A5" w:rsidRDefault="00F621A5" w:rsidP="00F86F08">
      <w:pPr>
        <w:ind w:firstLine="0"/>
        <w:rPr>
          <w:sz w:val="24"/>
          <w:szCs w:val="24"/>
        </w:rPr>
      </w:pPr>
    </w:p>
    <w:p w:rsidR="000B2DF7" w:rsidRPr="00996BF1" w:rsidRDefault="000B2DF7" w:rsidP="00F86F08">
      <w:pPr>
        <w:ind w:firstLine="0"/>
        <w:rPr>
          <w:sz w:val="24"/>
          <w:szCs w:val="24"/>
        </w:rPr>
      </w:pPr>
    </w:p>
    <w:p w:rsidR="009D741A" w:rsidRPr="00381D1B" w:rsidRDefault="009D741A" w:rsidP="00F86F08">
      <w:pPr>
        <w:pStyle w:val="Heading3"/>
        <w:rPr>
          <w:color w:val="365F91" w:themeColor="accent1" w:themeShade="BF"/>
        </w:rPr>
      </w:pPr>
      <w:bookmarkStart w:id="33" w:name="_Toc400632052"/>
      <w:bookmarkStart w:id="34" w:name="_Toc401575366"/>
      <w:r w:rsidRPr="00381D1B">
        <w:rPr>
          <w:color w:val="365F91" w:themeColor="accent1" w:themeShade="BF"/>
        </w:rPr>
        <w:t>3.2.7 Equal Pay Reviews</w:t>
      </w:r>
      <w:bookmarkEnd w:id="33"/>
      <w:bookmarkEnd w:id="34"/>
    </w:p>
    <w:p w:rsidR="008D623A" w:rsidRPr="00996BF1" w:rsidRDefault="00442AC0" w:rsidP="00F86F08">
      <w:pPr>
        <w:ind w:firstLine="0"/>
        <w:rPr>
          <w:sz w:val="24"/>
          <w:szCs w:val="24"/>
        </w:rPr>
      </w:pPr>
      <w:r w:rsidRPr="00442AC0">
        <w:rPr>
          <w:sz w:val="24"/>
          <w:szCs w:val="24"/>
        </w:rPr>
        <w:t xml:space="preserve">The University has been conducting regular equal pay reviews since 2008.  These are published biennially on the University website </w:t>
      </w:r>
      <w:r w:rsidR="009C4CD5">
        <w:rPr>
          <w:sz w:val="24"/>
          <w:szCs w:val="24"/>
        </w:rPr>
        <w:t>via</w:t>
      </w:r>
      <w:r w:rsidRPr="00442AC0">
        <w:rPr>
          <w:sz w:val="24"/>
          <w:szCs w:val="24"/>
        </w:rPr>
        <w:t xml:space="preserve"> The Reporter</w:t>
      </w:r>
      <w:r w:rsidR="00F621A5">
        <w:rPr>
          <w:rStyle w:val="FootnoteReference"/>
          <w:sz w:val="24"/>
          <w:szCs w:val="24"/>
        </w:rPr>
        <w:footnoteReference w:id="15"/>
      </w:r>
      <w:r w:rsidRPr="00442AC0">
        <w:rPr>
          <w:sz w:val="24"/>
          <w:szCs w:val="24"/>
        </w:rPr>
        <w:t>.  The report is produced by the Human Resources Division and overseen by GE</w:t>
      </w:r>
      <w:r w:rsidR="003A2D4E">
        <w:rPr>
          <w:sz w:val="24"/>
          <w:szCs w:val="24"/>
        </w:rPr>
        <w:t>G</w:t>
      </w:r>
      <w:r w:rsidRPr="00442AC0">
        <w:rPr>
          <w:sz w:val="24"/>
          <w:szCs w:val="24"/>
        </w:rPr>
        <w:t xml:space="preserve"> and the Equal Pay Review Group (EPRG).  The EPRG is comprised of members of the Human Resources Division, Trade Union representatives, and representatives from University Schools and Departments</w:t>
      </w:r>
      <w:r w:rsidR="000405F9" w:rsidRPr="00442AC0">
        <w:rPr>
          <w:rStyle w:val="FootnoteReference"/>
          <w:sz w:val="24"/>
          <w:szCs w:val="24"/>
        </w:rPr>
        <w:footnoteReference w:id="16"/>
      </w:r>
      <w:r w:rsidRPr="00442AC0">
        <w:rPr>
          <w:sz w:val="24"/>
          <w:szCs w:val="24"/>
        </w:rPr>
        <w:t>.</w:t>
      </w:r>
    </w:p>
    <w:p w:rsidR="008D623A" w:rsidRPr="00996BF1" w:rsidRDefault="008D623A" w:rsidP="00F86F08">
      <w:pPr>
        <w:ind w:firstLine="0"/>
        <w:rPr>
          <w:sz w:val="24"/>
          <w:szCs w:val="24"/>
        </w:rPr>
      </w:pPr>
    </w:p>
    <w:p w:rsidR="0019383B" w:rsidRPr="00381D1B" w:rsidRDefault="0019383B" w:rsidP="00F86F08">
      <w:pPr>
        <w:pStyle w:val="Heading2"/>
        <w:rPr>
          <w:b/>
        </w:rPr>
      </w:pPr>
      <w:bookmarkStart w:id="35" w:name="_Toc400632053"/>
      <w:bookmarkStart w:id="36" w:name="_Toc401575367"/>
      <w:r w:rsidRPr="00381D1B">
        <w:rPr>
          <w:b/>
        </w:rPr>
        <w:t>3.3 Ethnicity</w:t>
      </w:r>
      <w:r w:rsidR="009A0889" w:rsidRPr="00381D1B">
        <w:rPr>
          <w:b/>
        </w:rPr>
        <w:t xml:space="preserve"> and Nationality</w:t>
      </w:r>
      <w:bookmarkEnd w:id="35"/>
      <w:bookmarkEnd w:id="36"/>
    </w:p>
    <w:p w:rsidR="00F12BFB" w:rsidRDefault="009C4CD5" w:rsidP="00F86F08">
      <w:pPr>
        <w:ind w:firstLine="0"/>
      </w:pPr>
      <w:r>
        <w:rPr>
          <w:sz w:val="24"/>
          <w:szCs w:val="24"/>
        </w:rPr>
        <w:t>T</w:t>
      </w:r>
      <w:r w:rsidR="00442AC0" w:rsidRPr="00996BF1">
        <w:rPr>
          <w:sz w:val="24"/>
          <w:szCs w:val="24"/>
        </w:rPr>
        <w:t xml:space="preserve">he 2012/13 work on InterConnect sought to broaden the focus of the University on race equality to cover Black, Asian, Chinese, </w:t>
      </w:r>
      <w:proofErr w:type="gramStart"/>
      <w:r w:rsidR="00442AC0" w:rsidRPr="00996BF1">
        <w:rPr>
          <w:sz w:val="24"/>
          <w:szCs w:val="24"/>
        </w:rPr>
        <w:t>Mixed</w:t>
      </w:r>
      <w:proofErr w:type="gramEnd"/>
      <w:r w:rsidR="00442AC0" w:rsidRPr="00996BF1">
        <w:rPr>
          <w:sz w:val="24"/>
          <w:szCs w:val="24"/>
        </w:rPr>
        <w:t xml:space="preserve"> and White Other ethnic groups</w:t>
      </w:r>
      <w:r>
        <w:rPr>
          <w:sz w:val="24"/>
          <w:szCs w:val="24"/>
        </w:rPr>
        <w:t xml:space="preserve">.  This helps </w:t>
      </w:r>
      <w:r w:rsidR="00442AC0" w:rsidRPr="00996BF1">
        <w:rPr>
          <w:sz w:val="24"/>
          <w:szCs w:val="24"/>
        </w:rPr>
        <w:t>to better reflect the legal definition of Black and Minority Ethnic (BME), which includes any group other than White-British.  Consultations were held with all of the staff groups to gauge their experiences at the University</w:t>
      </w:r>
      <w:r>
        <w:rPr>
          <w:sz w:val="24"/>
          <w:szCs w:val="24"/>
        </w:rPr>
        <w:t xml:space="preserve"> and were reported to </w:t>
      </w:r>
      <w:r w:rsidR="004754B8">
        <w:rPr>
          <w:sz w:val="24"/>
          <w:szCs w:val="24"/>
        </w:rPr>
        <w:t>the Equality and Diversity Committee which has informed the InterConnect Action Plan</w:t>
      </w:r>
      <w:r w:rsidR="00442AC0" w:rsidRPr="00996BF1">
        <w:rPr>
          <w:sz w:val="24"/>
          <w:szCs w:val="24"/>
        </w:rPr>
        <w:t>.</w:t>
      </w:r>
    </w:p>
    <w:p w:rsidR="002F5E13" w:rsidRPr="00381D1B" w:rsidRDefault="002F5E13" w:rsidP="002144BE">
      <w:pPr>
        <w:pStyle w:val="Heading3"/>
        <w:rPr>
          <w:color w:val="365F91" w:themeColor="accent1" w:themeShade="BF"/>
        </w:rPr>
      </w:pPr>
      <w:bookmarkStart w:id="37" w:name="_Toc400632054"/>
      <w:bookmarkStart w:id="38" w:name="_Toc401575368"/>
      <w:r w:rsidRPr="00381D1B">
        <w:rPr>
          <w:color w:val="365F91" w:themeColor="accent1" w:themeShade="BF"/>
        </w:rPr>
        <w:t>3.3.1 Groups and Initiatives</w:t>
      </w:r>
      <w:bookmarkEnd w:id="37"/>
      <w:bookmarkEnd w:id="38"/>
    </w:p>
    <w:p w:rsidR="00442AC0" w:rsidRDefault="00442AC0" w:rsidP="00442AC0">
      <w:pPr>
        <w:ind w:firstLine="0"/>
        <w:rPr>
          <w:sz w:val="24"/>
          <w:szCs w:val="24"/>
        </w:rPr>
      </w:pPr>
      <w:r w:rsidRPr="00996BF1">
        <w:rPr>
          <w:sz w:val="24"/>
          <w:szCs w:val="24"/>
        </w:rPr>
        <w:lastRenderedPageBreak/>
        <w:t xml:space="preserve">On 19 June 2014, the University hosted </w:t>
      </w:r>
      <w:r w:rsidRPr="000B4E69">
        <w:rPr>
          <w:i/>
          <w:sz w:val="24"/>
          <w:szCs w:val="24"/>
        </w:rPr>
        <w:t>The World in Cambridge</w:t>
      </w:r>
      <w:r w:rsidRPr="00996BF1">
        <w:rPr>
          <w:sz w:val="24"/>
          <w:szCs w:val="24"/>
        </w:rPr>
        <w:t xml:space="preserve"> to formally launch the InterConnect initiative. </w:t>
      </w:r>
      <w:r w:rsidR="00C94CB8">
        <w:rPr>
          <w:sz w:val="24"/>
          <w:szCs w:val="24"/>
        </w:rPr>
        <w:t>This celebratory and inclusive event</w:t>
      </w:r>
      <w:r w:rsidR="00EA5119">
        <w:rPr>
          <w:sz w:val="24"/>
          <w:szCs w:val="24"/>
        </w:rPr>
        <w:t xml:space="preserve"> </w:t>
      </w:r>
      <w:r w:rsidRPr="00996BF1">
        <w:rPr>
          <w:sz w:val="24"/>
          <w:szCs w:val="24"/>
        </w:rPr>
        <w:t xml:space="preserve">featured musicians, dancers, singers and speakers highlighting the diversity that comprises the University and the local community.  Over 300 people were entertained by a Chinese Lion Dance, Irish Dancers, Yoruba songs, Greek poetry, British Indian poetry, Spanish and French songs, Harp and </w:t>
      </w:r>
      <w:proofErr w:type="spellStart"/>
      <w:r w:rsidRPr="00996BF1">
        <w:rPr>
          <w:sz w:val="24"/>
          <w:szCs w:val="24"/>
        </w:rPr>
        <w:t>Pipa</w:t>
      </w:r>
      <w:proofErr w:type="spellEnd"/>
      <w:r w:rsidRPr="00996BF1">
        <w:rPr>
          <w:sz w:val="24"/>
          <w:szCs w:val="24"/>
        </w:rPr>
        <w:t xml:space="preserve"> music as well as a talk on the history of the local Romany community.  </w:t>
      </w:r>
    </w:p>
    <w:p w:rsidR="00442AC0" w:rsidRDefault="00442AC0" w:rsidP="00442AC0">
      <w:pPr>
        <w:ind w:firstLine="0"/>
        <w:rPr>
          <w:b/>
          <w:color w:val="FF0000"/>
          <w:sz w:val="24"/>
          <w:szCs w:val="24"/>
        </w:rPr>
      </w:pPr>
    </w:p>
    <w:p w:rsidR="00CE568C" w:rsidRDefault="00CE568C" w:rsidP="00442AC0">
      <w:pPr>
        <w:ind w:firstLine="0"/>
        <w:rPr>
          <w:b/>
          <w:color w:val="FF0000"/>
          <w:sz w:val="24"/>
          <w:szCs w:val="24"/>
        </w:rPr>
      </w:pPr>
      <w:r>
        <w:rPr>
          <w:b/>
          <w:noProof/>
          <w:color w:val="FF0000"/>
          <w:sz w:val="24"/>
          <w:szCs w:val="24"/>
        </w:rPr>
        <w:drawing>
          <wp:inline distT="0" distB="0" distL="0" distR="0" wp14:anchorId="66524C58" wp14:editId="7E47B77D">
            <wp:extent cx="5500800" cy="9180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incambridge.jpg"/>
                    <pic:cNvPicPr/>
                  </pic:nvPicPr>
                  <pic:blipFill>
                    <a:blip r:embed="rId24">
                      <a:extLst>
                        <a:ext uri="{28A0092B-C50C-407E-A947-70E740481C1C}">
                          <a14:useLocalDpi xmlns:a14="http://schemas.microsoft.com/office/drawing/2010/main" val="0"/>
                        </a:ext>
                      </a:extLst>
                    </a:blip>
                    <a:stretch>
                      <a:fillRect/>
                    </a:stretch>
                  </pic:blipFill>
                  <pic:spPr>
                    <a:xfrm>
                      <a:off x="0" y="0"/>
                      <a:ext cx="5500800" cy="918000"/>
                    </a:xfrm>
                    <a:prstGeom prst="rect">
                      <a:avLst/>
                    </a:prstGeom>
                  </pic:spPr>
                </pic:pic>
              </a:graphicData>
            </a:graphic>
          </wp:inline>
        </w:drawing>
      </w:r>
    </w:p>
    <w:p w:rsidR="00CE568C" w:rsidRDefault="00CE568C" w:rsidP="00442AC0">
      <w:pPr>
        <w:ind w:firstLine="0"/>
        <w:rPr>
          <w:sz w:val="24"/>
          <w:szCs w:val="24"/>
        </w:rPr>
      </w:pPr>
    </w:p>
    <w:p w:rsidR="008D623A" w:rsidRPr="00996BF1" w:rsidRDefault="002775A6" w:rsidP="00F86F08">
      <w:pPr>
        <w:ind w:firstLine="0"/>
        <w:rPr>
          <w:sz w:val="24"/>
          <w:szCs w:val="24"/>
        </w:rPr>
      </w:pPr>
      <w:r w:rsidRPr="00996BF1">
        <w:rPr>
          <w:sz w:val="24"/>
          <w:szCs w:val="24"/>
        </w:rPr>
        <w:t xml:space="preserve">The University further consults with staff through the BME </w:t>
      </w:r>
      <w:r w:rsidR="003E4695" w:rsidRPr="00996BF1">
        <w:rPr>
          <w:sz w:val="24"/>
          <w:szCs w:val="24"/>
        </w:rPr>
        <w:t>S</w:t>
      </w:r>
      <w:r w:rsidRPr="00996BF1">
        <w:rPr>
          <w:sz w:val="24"/>
          <w:szCs w:val="24"/>
        </w:rPr>
        <w:t xml:space="preserve">taff </w:t>
      </w:r>
      <w:r w:rsidR="003E4695" w:rsidRPr="00996BF1">
        <w:rPr>
          <w:sz w:val="24"/>
          <w:szCs w:val="24"/>
        </w:rPr>
        <w:t>N</w:t>
      </w:r>
      <w:r w:rsidRPr="00996BF1">
        <w:rPr>
          <w:sz w:val="24"/>
          <w:szCs w:val="24"/>
        </w:rPr>
        <w:t>etwork</w:t>
      </w:r>
      <w:r w:rsidR="002F5E13" w:rsidRPr="00996BF1">
        <w:rPr>
          <w:rStyle w:val="FootnoteReference"/>
          <w:sz w:val="24"/>
          <w:szCs w:val="24"/>
        </w:rPr>
        <w:footnoteReference w:id="17"/>
      </w:r>
      <w:r w:rsidR="0006235C" w:rsidRPr="00996BF1">
        <w:rPr>
          <w:sz w:val="24"/>
          <w:szCs w:val="24"/>
        </w:rPr>
        <w:t xml:space="preserve">.  As a result of </w:t>
      </w:r>
      <w:r w:rsidR="00442AC0">
        <w:rPr>
          <w:sz w:val="24"/>
          <w:szCs w:val="24"/>
        </w:rPr>
        <w:t xml:space="preserve">the </w:t>
      </w:r>
      <w:r w:rsidR="0006235C" w:rsidRPr="00996BF1">
        <w:rPr>
          <w:sz w:val="24"/>
          <w:szCs w:val="24"/>
        </w:rPr>
        <w:t xml:space="preserve">InterConnect </w:t>
      </w:r>
      <w:r w:rsidR="00442AC0">
        <w:rPr>
          <w:sz w:val="24"/>
          <w:szCs w:val="24"/>
        </w:rPr>
        <w:t>review</w:t>
      </w:r>
      <w:r w:rsidR="00890681">
        <w:rPr>
          <w:sz w:val="24"/>
          <w:szCs w:val="24"/>
        </w:rPr>
        <w:t>,</w:t>
      </w:r>
      <w:r w:rsidR="00442AC0">
        <w:rPr>
          <w:sz w:val="24"/>
          <w:szCs w:val="24"/>
        </w:rPr>
        <w:t xml:space="preserve"> </w:t>
      </w:r>
      <w:r w:rsidR="00CE568C">
        <w:rPr>
          <w:sz w:val="24"/>
          <w:szCs w:val="24"/>
        </w:rPr>
        <w:t>the network will be renamed T</w:t>
      </w:r>
      <w:r w:rsidR="0006235C" w:rsidRPr="00996BF1">
        <w:rPr>
          <w:sz w:val="24"/>
          <w:szCs w:val="24"/>
        </w:rPr>
        <w:t xml:space="preserve">he World </w:t>
      </w:r>
      <w:proofErr w:type="gramStart"/>
      <w:r w:rsidR="0006235C" w:rsidRPr="00996BF1">
        <w:rPr>
          <w:sz w:val="24"/>
          <w:szCs w:val="24"/>
        </w:rPr>
        <w:t>In</w:t>
      </w:r>
      <w:proofErr w:type="gramEnd"/>
      <w:r w:rsidR="0006235C" w:rsidRPr="00996BF1">
        <w:rPr>
          <w:sz w:val="24"/>
          <w:szCs w:val="24"/>
        </w:rPr>
        <w:t xml:space="preserve"> Cambridge</w:t>
      </w:r>
      <w:r w:rsidR="002E73B6" w:rsidRPr="00996BF1">
        <w:rPr>
          <w:sz w:val="24"/>
          <w:szCs w:val="24"/>
        </w:rPr>
        <w:t xml:space="preserve">.  The University approved the InterConnect Action Plan, which </w:t>
      </w:r>
      <w:r w:rsidR="004754B8">
        <w:rPr>
          <w:sz w:val="24"/>
          <w:szCs w:val="24"/>
        </w:rPr>
        <w:t xml:space="preserve">focuses </w:t>
      </w:r>
      <w:r w:rsidR="00F10192">
        <w:rPr>
          <w:sz w:val="24"/>
          <w:szCs w:val="24"/>
        </w:rPr>
        <w:t xml:space="preserve">on </w:t>
      </w:r>
      <w:r w:rsidR="004754B8">
        <w:rPr>
          <w:sz w:val="24"/>
          <w:szCs w:val="24"/>
        </w:rPr>
        <w:t xml:space="preserve">senior level representation of BME and White </w:t>
      </w:r>
      <w:proofErr w:type="gramStart"/>
      <w:r w:rsidR="004754B8">
        <w:rPr>
          <w:sz w:val="24"/>
          <w:szCs w:val="24"/>
        </w:rPr>
        <w:t>Other</w:t>
      </w:r>
      <w:proofErr w:type="gramEnd"/>
      <w:r w:rsidR="004754B8">
        <w:rPr>
          <w:sz w:val="24"/>
          <w:szCs w:val="24"/>
        </w:rPr>
        <w:t xml:space="preserve">, continued benchmarking in the sector and nationally, and to improve institutional intercultural awareness. </w:t>
      </w:r>
      <w:r w:rsidR="00455174">
        <w:rPr>
          <w:sz w:val="24"/>
          <w:szCs w:val="24"/>
        </w:rPr>
        <w:t>The plan</w:t>
      </w:r>
      <w:r w:rsidR="004754B8">
        <w:rPr>
          <w:sz w:val="24"/>
          <w:szCs w:val="24"/>
        </w:rPr>
        <w:t xml:space="preserve"> </w:t>
      </w:r>
      <w:r w:rsidR="002E73B6" w:rsidRPr="00996BF1">
        <w:rPr>
          <w:sz w:val="24"/>
          <w:szCs w:val="24"/>
        </w:rPr>
        <w:t>provides a framework for p</w:t>
      </w:r>
      <w:r w:rsidR="00455174">
        <w:rPr>
          <w:sz w:val="24"/>
          <w:szCs w:val="24"/>
        </w:rPr>
        <w:t xml:space="preserve">rogressing race equality and </w:t>
      </w:r>
      <w:r w:rsidR="002E73B6" w:rsidRPr="00996BF1">
        <w:rPr>
          <w:sz w:val="24"/>
          <w:szCs w:val="24"/>
        </w:rPr>
        <w:t>identifying actions and measures to be taken between 2014 and 2017</w:t>
      </w:r>
      <w:r w:rsidR="002F5E13" w:rsidRPr="00996BF1">
        <w:rPr>
          <w:rStyle w:val="FootnoteReference"/>
          <w:sz w:val="24"/>
          <w:szCs w:val="24"/>
        </w:rPr>
        <w:footnoteReference w:id="18"/>
      </w:r>
      <w:r w:rsidR="00455174">
        <w:rPr>
          <w:sz w:val="24"/>
          <w:szCs w:val="24"/>
        </w:rPr>
        <w:t>.</w:t>
      </w:r>
    </w:p>
    <w:p w:rsidR="00F621A5" w:rsidRDefault="00F621A5">
      <w:pPr>
        <w:rPr>
          <w:sz w:val="24"/>
          <w:szCs w:val="24"/>
        </w:rPr>
      </w:pPr>
    </w:p>
    <w:p w:rsidR="002F5E13" w:rsidRPr="00996BF1" w:rsidRDefault="002F5E13" w:rsidP="00F86F08">
      <w:pPr>
        <w:ind w:firstLine="0"/>
        <w:rPr>
          <w:sz w:val="24"/>
          <w:szCs w:val="24"/>
        </w:rPr>
      </w:pPr>
    </w:p>
    <w:p w:rsidR="002F5E13" w:rsidRPr="00381D1B" w:rsidRDefault="002F5E13" w:rsidP="002144BE">
      <w:pPr>
        <w:pStyle w:val="Heading3"/>
        <w:rPr>
          <w:color w:val="365F91" w:themeColor="accent1" w:themeShade="BF"/>
        </w:rPr>
      </w:pPr>
      <w:bookmarkStart w:id="39" w:name="_Toc400632055"/>
      <w:bookmarkStart w:id="40" w:name="_Toc401575369"/>
      <w:r w:rsidRPr="00381D1B">
        <w:rPr>
          <w:color w:val="365F91" w:themeColor="accent1" w:themeShade="BF"/>
        </w:rPr>
        <w:t>3.3.2 Ethnic Groups</w:t>
      </w:r>
      <w:bookmarkEnd w:id="39"/>
      <w:bookmarkEnd w:id="40"/>
    </w:p>
    <w:p w:rsidR="00F621A5" w:rsidRDefault="000B4E69" w:rsidP="00F86F08">
      <w:pPr>
        <w:ind w:firstLine="0"/>
        <w:rPr>
          <w:sz w:val="24"/>
          <w:szCs w:val="24"/>
        </w:rPr>
      </w:pPr>
      <w:r>
        <w:rPr>
          <w:sz w:val="24"/>
          <w:szCs w:val="24"/>
        </w:rPr>
        <w:t xml:space="preserve">The </w:t>
      </w:r>
      <w:r w:rsidR="00F621A5">
        <w:rPr>
          <w:sz w:val="24"/>
          <w:szCs w:val="24"/>
        </w:rPr>
        <w:t xml:space="preserve">University includes representatives from a variety of </w:t>
      </w:r>
      <w:r w:rsidR="00BA2B04">
        <w:rPr>
          <w:sz w:val="24"/>
          <w:szCs w:val="24"/>
        </w:rPr>
        <w:t>ethnic</w:t>
      </w:r>
      <w:r>
        <w:rPr>
          <w:sz w:val="24"/>
          <w:szCs w:val="24"/>
        </w:rPr>
        <w:t>ities</w:t>
      </w:r>
      <w:r w:rsidR="00AA7A93">
        <w:rPr>
          <w:sz w:val="24"/>
          <w:szCs w:val="24"/>
        </w:rPr>
        <w:t xml:space="preserve"> </w:t>
      </w:r>
      <w:r w:rsidR="00BA2B04">
        <w:rPr>
          <w:sz w:val="24"/>
          <w:szCs w:val="24"/>
        </w:rPr>
        <w:t xml:space="preserve">represented in Table </w:t>
      </w:r>
      <w:r w:rsidR="00996D4C">
        <w:rPr>
          <w:sz w:val="24"/>
          <w:szCs w:val="24"/>
        </w:rPr>
        <w:t>3</w:t>
      </w:r>
      <w:r w:rsidR="00BA2B04">
        <w:rPr>
          <w:sz w:val="24"/>
          <w:szCs w:val="24"/>
        </w:rPr>
        <w:t xml:space="preserve">. </w:t>
      </w:r>
    </w:p>
    <w:p w:rsidR="0042794F" w:rsidRPr="00996BF1" w:rsidRDefault="00BA2B04" w:rsidP="00F86F08">
      <w:pPr>
        <w:ind w:firstLine="0"/>
        <w:rPr>
          <w:sz w:val="24"/>
          <w:szCs w:val="24"/>
        </w:rPr>
      </w:pPr>
      <w:r>
        <w:rPr>
          <w:sz w:val="24"/>
          <w:szCs w:val="24"/>
        </w:rPr>
        <w:t xml:space="preserve"> </w:t>
      </w:r>
    </w:p>
    <w:p w:rsidR="00ED5979" w:rsidRDefault="00ED5979" w:rsidP="00ED5979">
      <w:pPr>
        <w:pStyle w:val="Caption"/>
        <w:keepNext/>
      </w:pPr>
      <w:r>
        <w:t xml:space="preserve">Table </w:t>
      </w:r>
      <w:fldSimple w:instr=" SEQ Table \* ARABIC ">
        <w:r w:rsidR="00784F84">
          <w:rPr>
            <w:noProof/>
          </w:rPr>
          <w:t>3</w:t>
        </w:r>
      </w:fldSimple>
      <w:r>
        <w:t>: Ethnicity count</w:t>
      </w:r>
    </w:p>
    <w:tbl>
      <w:tblPr>
        <w:tblStyle w:val="TableGrid"/>
        <w:tblW w:w="0" w:type="auto"/>
        <w:tblLook w:val="04A0" w:firstRow="1" w:lastRow="0" w:firstColumn="1" w:lastColumn="0" w:noHBand="0" w:noVBand="1"/>
      </w:tblPr>
      <w:tblGrid>
        <w:gridCol w:w="3652"/>
        <w:gridCol w:w="992"/>
        <w:gridCol w:w="2410"/>
      </w:tblGrid>
      <w:tr w:rsidR="0042794F" w:rsidRPr="00996BF1" w:rsidTr="00996D4C">
        <w:trPr>
          <w:trHeight w:val="300"/>
        </w:trPr>
        <w:tc>
          <w:tcPr>
            <w:tcW w:w="3652" w:type="dxa"/>
            <w:shd w:val="clear" w:color="auto" w:fill="F2F2F2" w:themeFill="background1" w:themeFillShade="F2"/>
            <w:noWrap/>
            <w:hideMark/>
          </w:tcPr>
          <w:p w:rsidR="0042794F" w:rsidRPr="00996BF1" w:rsidRDefault="0042794F" w:rsidP="00F86F08">
            <w:pPr>
              <w:ind w:firstLine="0"/>
              <w:rPr>
                <w:b/>
                <w:bCs/>
                <w:sz w:val="24"/>
                <w:szCs w:val="24"/>
              </w:rPr>
            </w:pPr>
            <w:r w:rsidRPr="00996BF1">
              <w:rPr>
                <w:b/>
                <w:bCs/>
                <w:sz w:val="24"/>
                <w:szCs w:val="24"/>
              </w:rPr>
              <w:t>Ethnicity</w:t>
            </w:r>
          </w:p>
        </w:tc>
        <w:tc>
          <w:tcPr>
            <w:tcW w:w="992" w:type="dxa"/>
            <w:shd w:val="clear" w:color="auto" w:fill="F2F2F2" w:themeFill="background1" w:themeFillShade="F2"/>
            <w:noWrap/>
            <w:hideMark/>
          </w:tcPr>
          <w:p w:rsidR="0042794F" w:rsidRPr="00996BF1" w:rsidRDefault="0042794F" w:rsidP="00F86F08">
            <w:pPr>
              <w:ind w:firstLine="0"/>
              <w:rPr>
                <w:b/>
                <w:bCs/>
                <w:sz w:val="24"/>
                <w:szCs w:val="24"/>
              </w:rPr>
            </w:pPr>
            <w:r w:rsidRPr="00996BF1">
              <w:rPr>
                <w:b/>
                <w:bCs/>
                <w:sz w:val="24"/>
                <w:szCs w:val="24"/>
              </w:rPr>
              <w:t>Count</w:t>
            </w:r>
          </w:p>
        </w:tc>
        <w:tc>
          <w:tcPr>
            <w:tcW w:w="2410" w:type="dxa"/>
            <w:shd w:val="clear" w:color="auto" w:fill="F2F2F2" w:themeFill="background1" w:themeFillShade="F2"/>
            <w:noWrap/>
            <w:hideMark/>
          </w:tcPr>
          <w:p w:rsidR="0042794F" w:rsidRPr="00996BF1" w:rsidRDefault="0042794F" w:rsidP="00F86F08">
            <w:pPr>
              <w:ind w:firstLine="0"/>
              <w:rPr>
                <w:b/>
                <w:bCs/>
                <w:sz w:val="24"/>
                <w:szCs w:val="24"/>
              </w:rPr>
            </w:pPr>
            <w:r w:rsidRPr="00996BF1">
              <w:rPr>
                <w:b/>
                <w:bCs/>
                <w:sz w:val="24"/>
                <w:szCs w:val="24"/>
              </w:rPr>
              <w:t>%*</w:t>
            </w:r>
          </w:p>
        </w:tc>
      </w:tr>
      <w:tr w:rsidR="0042794F" w:rsidRPr="00996BF1" w:rsidTr="00442AC0">
        <w:trPr>
          <w:trHeight w:val="300"/>
        </w:trPr>
        <w:tc>
          <w:tcPr>
            <w:tcW w:w="3652" w:type="dxa"/>
            <w:noWrap/>
            <w:hideMark/>
          </w:tcPr>
          <w:p w:rsidR="0042794F" w:rsidRPr="00996BF1" w:rsidRDefault="0042794F" w:rsidP="00F86F08">
            <w:pPr>
              <w:ind w:firstLine="0"/>
              <w:rPr>
                <w:sz w:val="24"/>
                <w:szCs w:val="24"/>
              </w:rPr>
            </w:pPr>
            <w:r w:rsidRPr="00996BF1">
              <w:rPr>
                <w:sz w:val="24"/>
                <w:szCs w:val="24"/>
              </w:rPr>
              <w:t>Arab</w:t>
            </w:r>
          </w:p>
        </w:tc>
        <w:tc>
          <w:tcPr>
            <w:tcW w:w="992" w:type="dxa"/>
            <w:noWrap/>
            <w:hideMark/>
          </w:tcPr>
          <w:p w:rsidR="0042794F" w:rsidRPr="00996BF1" w:rsidRDefault="0042794F" w:rsidP="00F86F08">
            <w:pPr>
              <w:ind w:firstLine="0"/>
              <w:rPr>
                <w:sz w:val="24"/>
                <w:szCs w:val="24"/>
              </w:rPr>
            </w:pPr>
            <w:r w:rsidRPr="00996BF1">
              <w:rPr>
                <w:sz w:val="24"/>
                <w:szCs w:val="24"/>
              </w:rPr>
              <w:t>14</w:t>
            </w:r>
          </w:p>
        </w:tc>
        <w:tc>
          <w:tcPr>
            <w:tcW w:w="2410" w:type="dxa"/>
            <w:noWrap/>
            <w:hideMark/>
          </w:tcPr>
          <w:p w:rsidR="0042794F" w:rsidRPr="00996BF1" w:rsidRDefault="0042794F" w:rsidP="00F86F08">
            <w:pPr>
              <w:ind w:firstLine="0"/>
              <w:rPr>
                <w:sz w:val="24"/>
                <w:szCs w:val="24"/>
              </w:rPr>
            </w:pPr>
            <w:r w:rsidRPr="00996BF1">
              <w:rPr>
                <w:sz w:val="24"/>
                <w:szCs w:val="24"/>
              </w:rPr>
              <w:t>0.2%</w:t>
            </w:r>
          </w:p>
        </w:tc>
      </w:tr>
      <w:tr w:rsidR="0042794F" w:rsidRPr="00996BF1" w:rsidTr="00442AC0">
        <w:trPr>
          <w:trHeight w:val="300"/>
        </w:trPr>
        <w:tc>
          <w:tcPr>
            <w:tcW w:w="3652" w:type="dxa"/>
            <w:noWrap/>
            <w:hideMark/>
          </w:tcPr>
          <w:p w:rsidR="0042794F" w:rsidRPr="00996BF1" w:rsidRDefault="0042794F" w:rsidP="002F5E13">
            <w:pPr>
              <w:ind w:firstLine="0"/>
              <w:rPr>
                <w:sz w:val="24"/>
                <w:szCs w:val="24"/>
              </w:rPr>
            </w:pPr>
            <w:r w:rsidRPr="00996BF1">
              <w:rPr>
                <w:sz w:val="24"/>
                <w:szCs w:val="24"/>
              </w:rPr>
              <w:t>Asian or Asian British - Bangladeshi</w:t>
            </w:r>
          </w:p>
        </w:tc>
        <w:tc>
          <w:tcPr>
            <w:tcW w:w="992" w:type="dxa"/>
            <w:noWrap/>
            <w:hideMark/>
          </w:tcPr>
          <w:p w:rsidR="0042794F" w:rsidRPr="00996BF1" w:rsidRDefault="0042794F" w:rsidP="002F5E13">
            <w:pPr>
              <w:ind w:firstLine="0"/>
              <w:rPr>
                <w:sz w:val="24"/>
                <w:szCs w:val="24"/>
              </w:rPr>
            </w:pPr>
            <w:r w:rsidRPr="00996BF1">
              <w:rPr>
                <w:sz w:val="24"/>
                <w:szCs w:val="24"/>
              </w:rPr>
              <w:t>8</w:t>
            </w:r>
          </w:p>
        </w:tc>
        <w:tc>
          <w:tcPr>
            <w:tcW w:w="2410" w:type="dxa"/>
            <w:noWrap/>
            <w:hideMark/>
          </w:tcPr>
          <w:p w:rsidR="0042794F" w:rsidRPr="00996BF1" w:rsidRDefault="0042794F" w:rsidP="002F5E13">
            <w:pPr>
              <w:ind w:firstLine="0"/>
              <w:rPr>
                <w:sz w:val="24"/>
                <w:szCs w:val="24"/>
              </w:rPr>
            </w:pPr>
            <w:r w:rsidRPr="00996BF1">
              <w:rPr>
                <w:sz w:val="24"/>
                <w:szCs w:val="24"/>
              </w:rPr>
              <w:t>0.1%</w:t>
            </w:r>
          </w:p>
        </w:tc>
      </w:tr>
      <w:tr w:rsidR="0042794F" w:rsidRPr="00996BF1" w:rsidTr="00442AC0">
        <w:trPr>
          <w:trHeight w:val="300"/>
        </w:trPr>
        <w:tc>
          <w:tcPr>
            <w:tcW w:w="3652" w:type="dxa"/>
            <w:noWrap/>
            <w:hideMark/>
          </w:tcPr>
          <w:p w:rsidR="0042794F" w:rsidRPr="00996BF1" w:rsidRDefault="0042794F" w:rsidP="00F86F08">
            <w:pPr>
              <w:ind w:firstLine="0"/>
              <w:rPr>
                <w:sz w:val="24"/>
                <w:szCs w:val="24"/>
              </w:rPr>
            </w:pPr>
            <w:r w:rsidRPr="00996BF1">
              <w:rPr>
                <w:sz w:val="24"/>
                <w:szCs w:val="24"/>
              </w:rPr>
              <w:t>Asian or Asian British - Indian</w:t>
            </w:r>
          </w:p>
        </w:tc>
        <w:tc>
          <w:tcPr>
            <w:tcW w:w="992" w:type="dxa"/>
            <w:noWrap/>
            <w:hideMark/>
          </w:tcPr>
          <w:p w:rsidR="0042794F" w:rsidRPr="00996BF1" w:rsidRDefault="0042794F" w:rsidP="00F86F08">
            <w:pPr>
              <w:ind w:firstLine="0"/>
              <w:rPr>
                <w:sz w:val="24"/>
                <w:szCs w:val="24"/>
              </w:rPr>
            </w:pPr>
            <w:r w:rsidRPr="00996BF1">
              <w:rPr>
                <w:sz w:val="24"/>
                <w:szCs w:val="24"/>
              </w:rPr>
              <w:t>203</w:t>
            </w:r>
          </w:p>
        </w:tc>
        <w:tc>
          <w:tcPr>
            <w:tcW w:w="2410" w:type="dxa"/>
            <w:noWrap/>
            <w:hideMark/>
          </w:tcPr>
          <w:p w:rsidR="0042794F" w:rsidRPr="00996BF1" w:rsidRDefault="0042794F" w:rsidP="00F86F08">
            <w:pPr>
              <w:ind w:firstLine="0"/>
              <w:rPr>
                <w:sz w:val="24"/>
                <w:szCs w:val="24"/>
              </w:rPr>
            </w:pPr>
            <w:r w:rsidRPr="00996BF1">
              <w:rPr>
                <w:sz w:val="24"/>
                <w:szCs w:val="24"/>
              </w:rPr>
              <w:t>2.4%</w:t>
            </w:r>
          </w:p>
        </w:tc>
      </w:tr>
      <w:tr w:rsidR="0042794F" w:rsidRPr="00996BF1" w:rsidTr="00442AC0">
        <w:trPr>
          <w:trHeight w:val="300"/>
        </w:trPr>
        <w:tc>
          <w:tcPr>
            <w:tcW w:w="3652" w:type="dxa"/>
            <w:noWrap/>
            <w:hideMark/>
          </w:tcPr>
          <w:p w:rsidR="0042794F" w:rsidRPr="00996BF1" w:rsidRDefault="0042794F" w:rsidP="00F86F08">
            <w:pPr>
              <w:ind w:firstLine="0"/>
              <w:rPr>
                <w:sz w:val="24"/>
                <w:szCs w:val="24"/>
              </w:rPr>
            </w:pPr>
            <w:r w:rsidRPr="00996BF1">
              <w:rPr>
                <w:sz w:val="24"/>
                <w:szCs w:val="24"/>
              </w:rPr>
              <w:t>Asian or Asian British - Pakistani</w:t>
            </w:r>
          </w:p>
        </w:tc>
        <w:tc>
          <w:tcPr>
            <w:tcW w:w="992" w:type="dxa"/>
            <w:noWrap/>
            <w:hideMark/>
          </w:tcPr>
          <w:p w:rsidR="0042794F" w:rsidRPr="00996BF1" w:rsidRDefault="0042794F" w:rsidP="00F86F08">
            <w:pPr>
              <w:ind w:firstLine="0"/>
              <w:rPr>
                <w:sz w:val="24"/>
                <w:szCs w:val="24"/>
              </w:rPr>
            </w:pPr>
            <w:r w:rsidRPr="00996BF1">
              <w:rPr>
                <w:sz w:val="24"/>
                <w:szCs w:val="24"/>
              </w:rPr>
              <w:t>20</w:t>
            </w:r>
          </w:p>
        </w:tc>
        <w:tc>
          <w:tcPr>
            <w:tcW w:w="2410" w:type="dxa"/>
            <w:noWrap/>
            <w:hideMark/>
          </w:tcPr>
          <w:p w:rsidR="0042794F" w:rsidRPr="00996BF1" w:rsidRDefault="0042794F" w:rsidP="00F86F08">
            <w:pPr>
              <w:ind w:firstLine="0"/>
              <w:rPr>
                <w:sz w:val="24"/>
                <w:szCs w:val="24"/>
              </w:rPr>
            </w:pPr>
            <w:r w:rsidRPr="00996BF1">
              <w:rPr>
                <w:sz w:val="24"/>
                <w:szCs w:val="24"/>
              </w:rPr>
              <w:t>0.2%</w:t>
            </w:r>
          </w:p>
        </w:tc>
      </w:tr>
      <w:tr w:rsidR="0042794F" w:rsidRPr="00996BF1" w:rsidTr="00442AC0">
        <w:trPr>
          <w:trHeight w:val="300"/>
        </w:trPr>
        <w:tc>
          <w:tcPr>
            <w:tcW w:w="3652" w:type="dxa"/>
            <w:noWrap/>
            <w:hideMark/>
          </w:tcPr>
          <w:p w:rsidR="0042794F" w:rsidRPr="00996BF1" w:rsidRDefault="0042794F" w:rsidP="00F86F08">
            <w:pPr>
              <w:ind w:firstLine="0"/>
              <w:rPr>
                <w:sz w:val="24"/>
                <w:szCs w:val="24"/>
              </w:rPr>
            </w:pPr>
            <w:r w:rsidRPr="00996BF1">
              <w:rPr>
                <w:sz w:val="24"/>
                <w:szCs w:val="24"/>
              </w:rPr>
              <w:t>Black or Black British African</w:t>
            </w:r>
          </w:p>
        </w:tc>
        <w:tc>
          <w:tcPr>
            <w:tcW w:w="992" w:type="dxa"/>
            <w:noWrap/>
            <w:hideMark/>
          </w:tcPr>
          <w:p w:rsidR="0042794F" w:rsidRPr="00996BF1" w:rsidRDefault="0042794F" w:rsidP="00F86F08">
            <w:pPr>
              <w:ind w:firstLine="0"/>
              <w:rPr>
                <w:sz w:val="24"/>
                <w:szCs w:val="24"/>
              </w:rPr>
            </w:pPr>
            <w:r w:rsidRPr="00996BF1">
              <w:rPr>
                <w:sz w:val="24"/>
                <w:szCs w:val="24"/>
              </w:rPr>
              <w:t>34</w:t>
            </w:r>
          </w:p>
        </w:tc>
        <w:tc>
          <w:tcPr>
            <w:tcW w:w="2410" w:type="dxa"/>
            <w:noWrap/>
            <w:hideMark/>
          </w:tcPr>
          <w:p w:rsidR="0042794F" w:rsidRPr="00996BF1" w:rsidRDefault="0042794F" w:rsidP="00F86F08">
            <w:pPr>
              <w:ind w:firstLine="0"/>
              <w:rPr>
                <w:sz w:val="24"/>
                <w:szCs w:val="24"/>
              </w:rPr>
            </w:pPr>
            <w:r w:rsidRPr="00996BF1">
              <w:rPr>
                <w:sz w:val="24"/>
                <w:szCs w:val="24"/>
              </w:rPr>
              <w:t>0.4%</w:t>
            </w:r>
          </w:p>
        </w:tc>
      </w:tr>
      <w:tr w:rsidR="0042794F" w:rsidRPr="00996BF1" w:rsidTr="00442AC0">
        <w:trPr>
          <w:trHeight w:val="300"/>
        </w:trPr>
        <w:tc>
          <w:tcPr>
            <w:tcW w:w="3652" w:type="dxa"/>
            <w:noWrap/>
            <w:hideMark/>
          </w:tcPr>
          <w:p w:rsidR="0042794F" w:rsidRPr="00996BF1" w:rsidRDefault="0042794F" w:rsidP="00F86F08">
            <w:pPr>
              <w:ind w:firstLine="0"/>
              <w:rPr>
                <w:sz w:val="24"/>
                <w:szCs w:val="24"/>
              </w:rPr>
            </w:pPr>
            <w:r w:rsidRPr="00996BF1">
              <w:rPr>
                <w:sz w:val="24"/>
                <w:szCs w:val="24"/>
              </w:rPr>
              <w:t>Black or Black British Caribbean</w:t>
            </w:r>
          </w:p>
        </w:tc>
        <w:tc>
          <w:tcPr>
            <w:tcW w:w="992" w:type="dxa"/>
            <w:noWrap/>
            <w:hideMark/>
          </w:tcPr>
          <w:p w:rsidR="0042794F" w:rsidRPr="00996BF1" w:rsidRDefault="0042794F" w:rsidP="00F86F08">
            <w:pPr>
              <w:ind w:firstLine="0"/>
              <w:rPr>
                <w:sz w:val="24"/>
                <w:szCs w:val="24"/>
              </w:rPr>
            </w:pPr>
            <w:r w:rsidRPr="00996BF1">
              <w:rPr>
                <w:sz w:val="24"/>
                <w:szCs w:val="24"/>
              </w:rPr>
              <w:t>21</w:t>
            </w:r>
          </w:p>
        </w:tc>
        <w:tc>
          <w:tcPr>
            <w:tcW w:w="2410" w:type="dxa"/>
            <w:noWrap/>
            <w:hideMark/>
          </w:tcPr>
          <w:p w:rsidR="0042794F" w:rsidRPr="00996BF1" w:rsidRDefault="0042794F" w:rsidP="00F86F08">
            <w:pPr>
              <w:ind w:firstLine="0"/>
              <w:rPr>
                <w:sz w:val="24"/>
                <w:szCs w:val="24"/>
              </w:rPr>
            </w:pPr>
            <w:r w:rsidRPr="00996BF1">
              <w:rPr>
                <w:sz w:val="24"/>
                <w:szCs w:val="24"/>
              </w:rPr>
              <w:t>0.2%</w:t>
            </w:r>
          </w:p>
        </w:tc>
      </w:tr>
      <w:tr w:rsidR="0042794F" w:rsidRPr="00996BF1" w:rsidTr="00442AC0">
        <w:trPr>
          <w:trHeight w:val="300"/>
        </w:trPr>
        <w:tc>
          <w:tcPr>
            <w:tcW w:w="3652" w:type="dxa"/>
            <w:noWrap/>
            <w:hideMark/>
          </w:tcPr>
          <w:p w:rsidR="0042794F" w:rsidRPr="00996BF1" w:rsidRDefault="0042794F" w:rsidP="00F86F08">
            <w:pPr>
              <w:ind w:firstLine="0"/>
              <w:rPr>
                <w:sz w:val="24"/>
                <w:szCs w:val="24"/>
              </w:rPr>
            </w:pPr>
            <w:r w:rsidRPr="00996BF1">
              <w:rPr>
                <w:sz w:val="24"/>
                <w:szCs w:val="24"/>
              </w:rPr>
              <w:t>Chinese</w:t>
            </w:r>
          </w:p>
        </w:tc>
        <w:tc>
          <w:tcPr>
            <w:tcW w:w="992" w:type="dxa"/>
            <w:noWrap/>
            <w:hideMark/>
          </w:tcPr>
          <w:p w:rsidR="0042794F" w:rsidRPr="00996BF1" w:rsidRDefault="0042794F" w:rsidP="00F86F08">
            <w:pPr>
              <w:ind w:firstLine="0"/>
              <w:rPr>
                <w:sz w:val="24"/>
                <w:szCs w:val="24"/>
              </w:rPr>
            </w:pPr>
            <w:r w:rsidRPr="00996BF1">
              <w:rPr>
                <w:sz w:val="24"/>
                <w:szCs w:val="24"/>
              </w:rPr>
              <w:t>293</w:t>
            </w:r>
          </w:p>
        </w:tc>
        <w:tc>
          <w:tcPr>
            <w:tcW w:w="2410" w:type="dxa"/>
            <w:noWrap/>
            <w:hideMark/>
          </w:tcPr>
          <w:p w:rsidR="0042794F" w:rsidRPr="00996BF1" w:rsidRDefault="0042794F" w:rsidP="00F86F08">
            <w:pPr>
              <w:ind w:firstLine="0"/>
              <w:rPr>
                <w:sz w:val="24"/>
                <w:szCs w:val="24"/>
              </w:rPr>
            </w:pPr>
            <w:r w:rsidRPr="00996BF1">
              <w:rPr>
                <w:sz w:val="24"/>
                <w:szCs w:val="24"/>
              </w:rPr>
              <w:t>3.4%</w:t>
            </w:r>
          </w:p>
        </w:tc>
      </w:tr>
      <w:tr w:rsidR="0042794F" w:rsidRPr="0042794F" w:rsidTr="00442AC0">
        <w:trPr>
          <w:trHeight w:val="300"/>
        </w:trPr>
        <w:tc>
          <w:tcPr>
            <w:tcW w:w="3652" w:type="dxa"/>
            <w:noWrap/>
            <w:hideMark/>
          </w:tcPr>
          <w:p w:rsidR="0042794F" w:rsidRPr="0042794F" w:rsidRDefault="0042794F" w:rsidP="00F86F08">
            <w:pPr>
              <w:ind w:firstLine="0"/>
            </w:pPr>
            <w:r w:rsidRPr="0042794F">
              <w:t>Mixed Ethnicity</w:t>
            </w:r>
          </w:p>
        </w:tc>
        <w:tc>
          <w:tcPr>
            <w:tcW w:w="992" w:type="dxa"/>
            <w:noWrap/>
            <w:hideMark/>
          </w:tcPr>
          <w:p w:rsidR="0042794F" w:rsidRPr="0042794F" w:rsidRDefault="0042794F" w:rsidP="00F86F08">
            <w:pPr>
              <w:ind w:firstLine="0"/>
            </w:pPr>
            <w:r w:rsidRPr="0042794F">
              <w:t>117</w:t>
            </w:r>
          </w:p>
        </w:tc>
        <w:tc>
          <w:tcPr>
            <w:tcW w:w="2410" w:type="dxa"/>
            <w:noWrap/>
            <w:hideMark/>
          </w:tcPr>
          <w:p w:rsidR="0042794F" w:rsidRPr="0042794F" w:rsidRDefault="0042794F" w:rsidP="00F86F08">
            <w:pPr>
              <w:ind w:firstLine="0"/>
            </w:pPr>
            <w:r w:rsidRPr="0042794F">
              <w:t>1.4%</w:t>
            </w:r>
          </w:p>
        </w:tc>
      </w:tr>
      <w:tr w:rsidR="0042794F" w:rsidRPr="0042794F" w:rsidTr="00442AC0">
        <w:trPr>
          <w:trHeight w:val="300"/>
        </w:trPr>
        <w:tc>
          <w:tcPr>
            <w:tcW w:w="3652" w:type="dxa"/>
            <w:noWrap/>
            <w:hideMark/>
          </w:tcPr>
          <w:p w:rsidR="0042794F" w:rsidRPr="0042794F" w:rsidRDefault="0042794F" w:rsidP="00F86F08">
            <w:pPr>
              <w:ind w:firstLine="0"/>
            </w:pPr>
            <w:r w:rsidRPr="0042794F">
              <w:t>Other Asian Background</w:t>
            </w:r>
          </w:p>
        </w:tc>
        <w:tc>
          <w:tcPr>
            <w:tcW w:w="992" w:type="dxa"/>
            <w:noWrap/>
            <w:hideMark/>
          </w:tcPr>
          <w:p w:rsidR="0042794F" w:rsidRPr="0042794F" w:rsidRDefault="0042794F" w:rsidP="00F86F08">
            <w:pPr>
              <w:ind w:firstLine="0"/>
            </w:pPr>
            <w:r w:rsidRPr="0042794F">
              <w:t>148</w:t>
            </w:r>
          </w:p>
        </w:tc>
        <w:tc>
          <w:tcPr>
            <w:tcW w:w="2410" w:type="dxa"/>
            <w:noWrap/>
            <w:hideMark/>
          </w:tcPr>
          <w:p w:rsidR="0042794F" w:rsidRPr="0042794F" w:rsidRDefault="0042794F" w:rsidP="00F86F08">
            <w:pPr>
              <w:ind w:firstLine="0"/>
            </w:pPr>
            <w:r w:rsidRPr="0042794F">
              <w:t>1.7%</w:t>
            </w:r>
          </w:p>
        </w:tc>
      </w:tr>
      <w:tr w:rsidR="0042794F" w:rsidRPr="0042794F" w:rsidTr="00442AC0">
        <w:trPr>
          <w:trHeight w:val="300"/>
        </w:trPr>
        <w:tc>
          <w:tcPr>
            <w:tcW w:w="3652" w:type="dxa"/>
            <w:noWrap/>
            <w:hideMark/>
          </w:tcPr>
          <w:p w:rsidR="0042794F" w:rsidRPr="0042794F" w:rsidRDefault="0042794F" w:rsidP="00F86F08">
            <w:pPr>
              <w:ind w:firstLine="0"/>
            </w:pPr>
            <w:r w:rsidRPr="0042794F">
              <w:t>Other Black Background</w:t>
            </w:r>
          </w:p>
        </w:tc>
        <w:tc>
          <w:tcPr>
            <w:tcW w:w="992" w:type="dxa"/>
            <w:noWrap/>
            <w:hideMark/>
          </w:tcPr>
          <w:p w:rsidR="0042794F" w:rsidRPr="0042794F" w:rsidRDefault="0042794F" w:rsidP="00F86F08">
            <w:pPr>
              <w:ind w:firstLine="0"/>
            </w:pPr>
            <w:r w:rsidRPr="0042794F">
              <w:t>10</w:t>
            </w:r>
          </w:p>
        </w:tc>
        <w:tc>
          <w:tcPr>
            <w:tcW w:w="2410" w:type="dxa"/>
            <w:noWrap/>
            <w:hideMark/>
          </w:tcPr>
          <w:p w:rsidR="0042794F" w:rsidRPr="0042794F" w:rsidRDefault="0042794F" w:rsidP="00F86F08">
            <w:pPr>
              <w:ind w:firstLine="0"/>
            </w:pPr>
            <w:r w:rsidRPr="0042794F">
              <w:t>0.1%</w:t>
            </w:r>
          </w:p>
        </w:tc>
      </w:tr>
      <w:tr w:rsidR="0042794F" w:rsidRPr="0042794F" w:rsidTr="00442AC0">
        <w:trPr>
          <w:trHeight w:val="300"/>
        </w:trPr>
        <w:tc>
          <w:tcPr>
            <w:tcW w:w="3652" w:type="dxa"/>
            <w:noWrap/>
            <w:hideMark/>
          </w:tcPr>
          <w:p w:rsidR="0042794F" w:rsidRPr="0042794F" w:rsidRDefault="0042794F" w:rsidP="00F86F08">
            <w:pPr>
              <w:ind w:firstLine="0"/>
            </w:pPr>
            <w:r w:rsidRPr="0042794F">
              <w:t>Other ethnic background</w:t>
            </w:r>
          </w:p>
        </w:tc>
        <w:tc>
          <w:tcPr>
            <w:tcW w:w="992" w:type="dxa"/>
            <w:noWrap/>
            <w:hideMark/>
          </w:tcPr>
          <w:p w:rsidR="0042794F" w:rsidRPr="0042794F" w:rsidRDefault="0042794F" w:rsidP="00F86F08">
            <w:pPr>
              <w:ind w:firstLine="0"/>
            </w:pPr>
            <w:r w:rsidRPr="0042794F">
              <w:t>75</w:t>
            </w:r>
          </w:p>
        </w:tc>
        <w:tc>
          <w:tcPr>
            <w:tcW w:w="2410" w:type="dxa"/>
            <w:noWrap/>
            <w:hideMark/>
          </w:tcPr>
          <w:p w:rsidR="0042794F" w:rsidRPr="0042794F" w:rsidRDefault="0042794F" w:rsidP="00F86F08">
            <w:pPr>
              <w:ind w:firstLine="0"/>
            </w:pPr>
            <w:r w:rsidRPr="0042794F">
              <w:t>0.9%</w:t>
            </w:r>
          </w:p>
        </w:tc>
      </w:tr>
      <w:tr w:rsidR="0042794F" w:rsidRPr="0042794F" w:rsidTr="00442AC0">
        <w:trPr>
          <w:trHeight w:val="300"/>
        </w:trPr>
        <w:tc>
          <w:tcPr>
            <w:tcW w:w="3652" w:type="dxa"/>
            <w:noWrap/>
            <w:hideMark/>
          </w:tcPr>
          <w:p w:rsidR="0042794F" w:rsidRPr="0042794F" w:rsidRDefault="0042794F" w:rsidP="00F86F08">
            <w:pPr>
              <w:ind w:firstLine="0"/>
            </w:pPr>
            <w:r w:rsidRPr="0042794F">
              <w:t>White - British</w:t>
            </w:r>
          </w:p>
        </w:tc>
        <w:tc>
          <w:tcPr>
            <w:tcW w:w="992" w:type="dxa"/>
            <w:noWrap/>
            <w:hideMark/>
          </w:tcPr>
          <w:p w:rsidR="0042794F" w:rsidRPr="0042794F" w:rsidRDefault="0042794F" w:rsidP="00F86F08">
            <w:pPr>
              <w:ind w:firstLine="0"/>
            </w:pPr>
            <w:r w:rsidRPr="0042794F">
              <w:t>5622</w:t>
            </w:r>
          </w:p>
        </w:tc>
        <w:tc>
          <w:tcPr>
            <w:tcW w:w="2410" w:type="dxa"/>
            <w:noWrap/>
            <w:hideMark/>
          </w:tcPr>
          <w:p w:rsidR="0042794F" w:rsidRPr="0042794F" w:rsidRDefault="0042794F" w:rsidP="00F86F08">
            <w:pPr>
              <w:ind w:firstLine="0"/>
            </w:pPr>
            <w:r w:rsidRPr="0042794F">
              <w:t>65.7%</w:t>
            </w:r>
          </w:p>
        </w:tc>
      </w:tr>
      <w:tr w:rsidR="0042794F" w:rsidRPr="0042794F" w:rsidTr="00442AC0">
        <w:trPr>
          <w:trHeight w:val="300"/>
        </w:trPr>
        <w:tc>
          <w:tcPr>
            <w:tcW w:w="3652" w:type="dxa"/>
            <w:noWrap/>
            <w:hideMark/>
          </w:tcPr>
          <w:p w:rsidR="0042794F" w:rsidRPr="0042794F" w:rsidRDefault="0042794F" w:rsidP="00F86F08">
            <w:pPr>
              <w:ind w:firstLine="0"/>
            </w:pPr>
            <w:r w:rsidRPr="0042794F">
              <w:t>White - Other</w:t>
            </w:r>
          </w:p>
        </w:tc>
        <w:tc>
          <w:tcPr>
            <w:tcW w:w="992" w:type="dxa"/>
            <w:noWrap/>
            <w:hideMark/>
          </w:tcPr>
          <w:p w:rsidR="0042794F" w:rsidRPr="0042794F" w:rsidRDefault="0042794F" w:rsidP="00F86F08">
            <w:pPr>
              <w:ind w:firstLine="0"/>
            </w:pPr>
            <w:r w:rsidRPr="0042794F">
              <w:t>1995</w:t>
            </w:r>
          </w:p>
        </w:tc>
        <w:tc>
          <w:tcPr>
            <w:tcW w:w="2410" w:type="dxa"/>
            <w:noWrap/>
            <w:hideMark/>
          </w:tcPr>
          <w:p w:rsidR="0042794F" w:rsidRPr="0042794F" w:rsidRDefault="0042794F" w:rsidP="00F86F08">
            <w:pPr>
              <w:ind w:firstLine="0"/>
            </w:pPr>
            <w:r w:rsidRPr="0042794F">
              <w:t>23.3%</w:t>
            </w:r>
          </w:p>
        </w:tc>
      </w:tr>
      <w:tr w:rsidR="0042794F" w:rsidRPr="0042794F" w:rsidTr="00442AC0">
        <w:trPr>
          <w:trHeight w:val="300"/>
        </w:trPr>
        <w:tc>
          <w:tcPr>
            <w:tcW w:w="3652" w:type="dxa"/>
            <w:noWrap/>
            <w:hideMark/>
          </w:tcPr>
          <w:p w:rsidR="0042794F" w:rsidRPr="0042794F" w:rsidRDefault="0042794F" w:rsidP="00F86F08">
            <w:pPr>
              <w:ind w:firstLine="0"/>
            </w:pPr>
            <w:r w:rsidRPr="0042794F">
              <w:t>Unknown</w:t>
            </w:r>
          </w:p>
        </w:tc>
        <w:tc>
          <w:tcPr>
            <w:tcW w:w="992" w:type="dxa"/>
            <w:noWrap/>
            <w:hideMark/>
          </w:tcPr>
          <w:p w:rsidR="0042794F" w:rsidRPr="0042794F" w:rsidRDefault="0042794F" w:rsidP="00F86F08">
            <w:pPr>
              <w:ind w:firstLine="0"/>
            </w:pPr>
            <w:r w:rsidRPr="0042794F">
              <w:t>2175</w:t>
            </w:r>
          </w:p>
        </w:tc>
        <w:tc>
          <w:tcPr>
            <w:tcW w:w="2410" w:type="dxa"/>
            <w:vMerge w:val="restart"/>
            <w:hideMark/>
          </w:tcPr>
          <w:p w:rsidR="0042794F" w:rsidRPr="0042794F" w:rsidRDefault="0042794F" w:rsidP="00F86F08">
            <w:pPr>
              <w:ind w:firstLine="0"/>
            </w:pPr>
            <w:r w:rsidRPr="0042794F">
              <w:t>* % of total, excluding unknowns</w:t>
            </w:r>
          </w:p>
        </w:tc>
      </w:tr>
      <w:tr w:rsidR="0042794F" w:rsidRPr="0042794F" w:rsidTr="00442AC0">
        <w:trPr>
          <w:trHeight w:val="300"/>
        </w:trPr>
        <w:tc>
          <w:tcPr>
            <w:tcW w:w="3652" w:type="dxa"/>
            <w:noWrap/>
            <w:hideMark/>
          </w:tcPr>
          <w:p w:rsidR="0042794F" w:rsidRPr="0042794F" w:rsidRDefault="0042794F" w:rsidP="00F86F08">
            <w:pPr>
              <w:ind w:firstLine="0"/>
              <w:rPr>
                <w:b/>
                <w:bCs/>
              </w:rPr>
            </w:pPr>
            <w:r w:rsidRPr="0042794F">
              <w:rPr>
                <w:b/>
                <w:bCs/>
              </w:rPr>
              <w:t>Total</w:t>
            </w:r>
          </w:p>
        </w:tc>
        <w:tc>
          <w:tcPr>
            <w:tcW w:w="992" w:type="dxa"/>
            <w:noWrap/>
            <w:hideMark/>
          </w:tcPr>
          <w:p w:rsidR="0042794F" w:rsidRPr="0042794F" w:rsidRDefault="0042794F" w:rsidP="00F86F08">
            <w:pPr>
              <w:ind w:firstLine="0"/>
              <w:rPr>
                <w:b/>
                <w:bCs/>
              </w:rPr>
            </w:pPr>
            <w:r w:rsidRPr="0042794F">
              <w:rPr>
                <w:b/>
                <w:bCs/>
              </w:rPr>
              <w:t>10735</w:t>
            </w:r>
          </w:p>
        </w:tc>
        <w:tc>
          <w:tcPr>
            <w:tcW w:w="2410" w:type="dxa"/>
            <w:vMerge/>
            <w:hideMark/>
          </w:tcPr>
          <w:p w:rsidR="0042794F" w:rsidRPr="0042794F" w:rsidRDefault="0042794F" w:rsidP="00F86F08">
            <w:pPr>
              <w:ind w:firstLine="0"/>
            </w:pPr>
          </w:p>
        </w:tc>
      </w:tr>
    </w:tbl>
    <w:p w:rsidR="00F8191D" w:rsidRDefault="00F8191D" w:rsidP="00F86F08">
      <w:pPr>
        <w:ind w:firstLine="0"/>
      </w:pPr>
    </w:p>
    <w:p w:rsidR="009E6AF1" w:rsidRPr="00996BF1" w:rsidRDefault="009E6AF1" w:rsidP="00F86F08">
      <w:pPr>
        <w:ind w:firstLine="0"/>
        <w:rPr>
          <w:sz w:val="24"/>
          <w:szCs w:val="24"/>
        </w:rPr>
      </w:pPr>
      <w:r w:rsidRPr="00996BF1">
        <w:rPr>
          <w:sz w:val="24"/>
          <w:szCs w:val="24"/>
        </w:rPr>
        <w:lastRenderedPageBreak/>
        <w:t xml:space="preserve">Overall, of the </w:t>
      </w:r>
      <w:r w:rsidR="0042794F" w:rsidRPr="00996BF1">
        <w:rPr>
          <w:sz w:val="24"/>
          <w:szCs w:val="24"/>
        </w:rPr>
        <w:t>80</w:t>
      </w:r>
      <w:r w:rsidRPr="00996BF1">
        <w:rPr>
          <w:sz w:val="24"/>
          <w:szCs w:val="24"/>
        </w:rPr>
        <w:t>% who disclos</w:t>
      </w:r>
      <w:r w:rsidR="006D6FD4" w:rsidRPr="00996BF1">
        <w:rPr>
          <w:sz w:val="24"/>
          <w:szCs w:val="24"/>
        </w:rPr>
        <w:t>ed their ethnicity, 11% are BME</w:t>
      </w:r>
      <w:r w:rsidR="00F621A5">
        <w:rPr>
          <w:sz w:val="24"/>
          <w:szCs w:val="24"/>
        </w:rPr>
        <w:t xml:space="preserve"> (Figure 1</w:t>
      </w:r>
      <w:r w:rsidR="000B2DF7">
        <w:rPr>
          <w:sz w:val="24"/>
          <w:szCs w:val="24"/>
        </w:rPr>
        <w:t>1</w:t>
      </w:r>
      <w:r w:rsidR="00F621A5">
        <w:rPr>
          <w:sz w:val="24"/>
          <w:szCs w:val="24"/>
        </w:rPr>
        <w:t xml:space="preserve">) </w:t>
      </w:r>
      <w:r w:rsidR="006D6FD4" w:rsidRPr="00996BF1">
        <w:rPr>
          <w:sz w:val="24"/>
          <w:szCs w:val="24"/>
        </w:rPr>
        <w:t>which compares to 12.3% reported by the Russell Group Universities (RG)</w:t>
      </w:r>
      <w:r w:rsidR="009A0889" w:rsidRPr="00996BF1">
        <w:rPr>
          <w:sz w:val="24"/>
          <w:szCs w:val="24"/>
        </w:rPr>
        <w:t xml:space="preserve"> in 2012/13</w:t>
      </w:r>
      <w:r w:rsidR="006D6FD4" w:rsidRPr="00996BF1">
        <w:rPr>
          <w:sz w:val="24"/>
          <w:szCs w:val="24"/>
        </w:rPr>
        <w:t>.</w:t>
      </w:r>
      <w:r w:rsidR="00BA2B04" w:rsidRPr="00BA2B04">
        <w:rPr>
          <w:sz w:val="24"/>
          <w:szCs w:val="24"/>
        </w:rPr>
        <w:t xml:space="preserve"> </w:t>
      </w:r>
      <w:r w:rsidR="00BA2B04">
        <w:rPr>
          <w:sz w:val="24"/>
          <w:szCs w:val="24"/>
        </w:rPr>
        <w:t xml:space="preserve"> The largest BME group represented are Chinese who account for 3.4% of those who disclosed their ethnicity.</w:t>
      </w:r>
    </w:p>
    <w:p w:rsidR="009E6AF1" w:rsidRDefault="009E6AF1" w:rsidP="00F86F08">
      <w:pPr>
        <w:ind w:firstLine="0"/>
      </w:pPr>
    </w:p>
    <w:p w:rsidR="00ED5979" w:rsidRDefault="009E6AF1" w:rsidP="00ED5979">
      <w:pPr>
        <w:keepNext/>
        <w:ind w:firstLine="0"/>
      </w:pPr>
      <w:r>
        <w:rPr>
          <w:noProof/>
        </w:rPr>
        <w:drawing>
          <wp:inline distT="0" distB="0" distL="0" distR="0" wp14:anchorId="2057295A" wp14:editId="4ADA2D99">
            <wp:extent cx="5407660" cy="275590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7660" cy="2755900"/>
                    </a:xfrm>
                    <a:prstGeom prst="rect">
                      <a:avLst/>
                    </a:prstGeom>
                    <a:noFill/>
                  </pic:spPr>
                </pic:pic>
              </a:graphicData>
            </a:graphic>
          </wp:inline>
        </w:drawing>
      </w:r>
    </w:p>
    <w:p w:rsidR="009E6AF1" w:rsidRDefault="00ED5979" w:rsidP="00ED5979">
      <w:pPr>
        <w:pStyle w:val="Caption"/>
      </w:pPr>
      <w:bookmarkStart w:id="41" w:name="_Toc401575403"/>
      <w:r>
        <w:t xml:space="preserve">Figure </w:t>
      </w:r>
      <w:fldSimple w:instr=" SEQ Figure \* ARABIC ">
        <w:r w:rsidR="00784F84">
          <w:rPr>
            <w:noProof/>
          </w:rPr>
          <w:t>11</w:t>
        </w:r>
      </w:fldSimple>
      <w:r>
        <w:t>:  BME, White - Other, White - British pie chart</w:t>
      </w:r>
      <w:bookmarkEnd w:id="41"/>
    </w:p>
    <w:p w:rsidR="00BA2B04" w:rsidRDefault="00BA2B04" w:rsidP="002144BE">
      <w:pPr>
        <w:pStyle w:val="Heading3"/>
      </w:pPr>
      <w:bookmarkStart w:id="42" w:name="_Toc400632056"/>
    </w:p>
    <w:p w:rsidR="00861031" w:rsidRPr="00381D1B" w:rsidRDefault="00861031" w:rsidP="002144BE">
      <w:pPr>
        <w:pStyle w:val="Heading3"/>
        <w:rPr>
          <w:color w:val="365F91" w:themeColor="accent1" w:themeShade="BF"/>
        </w:rPr>
      </w:pPr>
      <w:bookmarkStart w:id="43" w:name="_Toc401575370"/>
      <w:r w:rsidRPr="00381D1B">
        <w:rPr>
          <w:color w:val="365F91" w:themeColor="accent1" w:themeShade="BF"/>
        </w:rPr>
        <w:t>3.3.3 Nationality</w:t>
      </w:r>
      <w:bookmarkEnd w:id="42"/>
      <w:bookmarkEnd w:id="43"/>
    </w:p>
    <w:p w:rsidR="009E6AF1" w:rsidRDefault="001A1F67" w:rsidP="00F86F08">
      <w:pPr>
        <w:ind w:firstLine="0"/>
        <w:rPr>
          <w:sz w:val="24"/>
          <w:szCs w:val="24"/>
        </w:rPr>
      </w:pPr>
      <w:r w:rsidRPr="00996BF1">
        <w:rPr>
          <w:sz w:val="24"/>
          <w:szCs w:val="24"/>
        </w:rPr>
        <w:t xml:space="preserve">There are 104 nationalities represented </w:t>
      </w:r>
      <w:r w:rsidR="00861031" w:rsidRPr="00996BF1">
        <w:rPr>
          <w:sz w:val="24"/>
          <w:szCs w:val="24"/>
        </w:rPr>
        <w:t>at the University of Cambridge.  Non-UK nationalities mak</w:t>
      </w:r>
      <w:r w:rsidRPr="00996BF1">
        <w:rPr>
          <w:sz w:val="24"/>
          <w:szCs w:val="24"/>
        </w:rPr>
        <w:t>e up 32.1% of the University staff population</w:t>
      </w:r>
      <w:r w:rsidR="000B2DF7">
        <w:rPr>
          <w:sz w:val="24"/>
          <w:szCs w:val="24"/>
        </w:rPr>
        <w:t xml:space="preserve"> (Figure 12)</w:t>
      </w:r>
      <w:r w:rsidRPr="00996BF1">
        <w:rPr>
          <w:sz w:val="24"/>
          <w:szCs w:val="24"/>
        </w:rPr>
        <w:t xml:space="preserve">.  </w:t>
      </w:r>
    </w:p>
    <w:p w:rsidR="00CB4C1F" w:rsidRPr="00996BF1" w:rsidRDefault="00CB4C1F" w:rsidP="00F86F08">
      <w:pPr>
        <w:ind w:firstLine="0"/>
        <w:rPr>
          <w:sz w:val="24"/>
          <w:szCs w:val="24"/>
        </w:rPr>
      </w:pPr>
    </w:p>
    <w:p w:rsidR="00ED5979" w:rsidRDefault="00847AAA" w:rsidP="00ED5979">
      <w:pPr>
        <w:keepNext/>
        <w:ind w:firstLine="0"/>
      </w:pPr>
      <w:r>
        <w:rPr>
          <w:noProof/>
        </w:rPr>
        <w:drawing>
          <wp:inline distT="0" distB="0" distL="0" distR="0" wp14:anchorId="2F14207F" wp14:editId="322F80C7">
            <wp:extent cx="5414010" cy="27559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4010" cy="2755900"/>
                    </a:xfrm>
                    <a:prstGeom prst="rect">
                      <a:avLst/>
                    </a:prstGeom>
                    <a:noFill/>
                  </pic:spPr>
                </pic:pic>
              </a:graphicData>
            </a:graphic>
          </wp:inline>
        </w:drawing>
      </w:r>
    </w:p>
    <w:p w:rsidR="00861031" w:rsidRDefault="00ED5979" w:rsidP="00ED5979">
      <w:pPr>
        <w:pStyle w:val="Caption"/>
      </w:pPr>
      <w:bookmarkStart w:id="44" w:name="_Toc401575404"/>
      <w:r>
        <w:t xml:space="preserve">Figure </w:t>
      </w:r>
      <w:fldSimple w:instr=" SEQ Figure \* ARABIC ">
        <w:r w:rsidR="00784F84">
          <w:rPr>
            <w:noProof/>
          </w:rPr>
          <w:t>12</w:t>
        </w:r>
      </w:fldSimple>
      <w:r>
        <w:t>:  Nationality pie chart</w:t>
      </w:r>
      <w:bookmarkEnd w:id="44"/>
    </w:p>
    <w:p w:rsidR="006D6FD4" w:rsidRPr="00381D1B" w:rsidRDefault="00097454" w:rsidP="00F86F08">
      <w:pPr>
        <w:pStyle w:val="Heading3"/>
        <w:rPr>
          <w:color w:val="365F91" w:themeColor="accent1" w:themeShade="BF"/>
        </w:rPr>
      </w:pPr>
      <w:bookmarkStart w:id="45" w:name="_Toc400632057"/>
      <w:bookmarkStart w:id="46" w:name="_Toc401575371"/>
      <w:r w:rsidRPr="00381D1B">
        <w:rPr>
          <w:color w:val="365F91" w:themeColor="accent1" w:themeShade="BF"/>
        </w:rPr>
        <w:t>3.3.</w:t>
      </w:r>
      <w:r w:rsidR="00861031" w:rsidRPr="00381D1B">
        <w:rPr>
          <w:color w:val="365F91" w:themeColor="accent1" w:themeShade="BF"/>
        </w:rPr>
        <w:t>4</w:t>
      </w:r>
      <w:r w:rsidR="002F5E13" w:rsidRPr="00381D1B">
        <w:rPr>
          <w:color w:val="365F91" w:themeColor="accent1" w:themeShade="BF"/>
        </w:rPr>
        <w:t xml:space="preserve"> </w:t>
      </w:r>
      <w:r w:rsidRPr="00381D1B">
        <w:rPr>
          <w:color w:val="365F91" w:themeColor="accent1" w:themeShade="BF"/>
        </w:rPr>
        <w:t>Staff g</w:t>
      </w:r>
      <w:r w:rsidR="006D6FD4" w:rsidRPr="00381D1B">
        <w:rPr>
          <w:color w:val="365F91" w:themeColor="accent1" w:themeShade="BF"/>
        </w:rPr>
        <w:t>roup</w:t>
      </w:r>
      <w:r w:rsidRPr="00381D1B">
        <w:rPr>
          <w:color w:val="365F91" w:themeColor="accent1" w:themeShade="BF"/>
        </w:rPr>
        <w:t>s and grades</w:t>
      </w:r>
      <w:bookmarkEnd w:id="45"/>
      <w:bookmarkEnd w:id="46"/>
    </w:p>
    <w:p w:rsidR="00097454" w:rsidRPr="00996BF1" w:rsidRDefault="009A0889" w:rsidP="00F86F08">
      <w:pPr>
        <w:ind w:firstLine="0"/>
        <w:rPr>
          <w:sz w:val="24"/>
          <w:szCs w:val="24"/>
        </w:rPr>
      </w:pPr>
      <w:r w:rsidRPr="00996BF1">
        <w:rPr>
          <w:sz w:val="24"/>
          <w:szCs w:val="24"/>
        </w:rPr>
        <w:t>The Researcher group contains the highest proportion of BME (20%) and White Other (42.9%) staff which corresponds with the lowest proportion of respondents with UK Nationality (</w:t>
      </w:r>
      <w:r w:rsidR="00EC558B" w:rsidRPr="00996BF1">
        <w:rPr>
          <w:sz w:val="24"/>
          <w:szCs w:val="24"/>
        </w:rPr>
        <w:t>44.2</w:t>
      </w:r>
      <w:r w:rsidRPr="00996BF1">
        <w:rPr>
          <w:sz w:val="24"/>
          <w:szCs w:val="24"/>
        </w:rPr>
        <w:t>%)</w:t>
      </w:r>
      <w:r w:rsidR="000B2DF7">
        <w:rPr>
          <w:sz w:val="24"/>
          <w:szCs w:val="24"/>
        </w:rPr>
        <w:t xml:space="preserve"> (Figure13)</w:t>
      </w:r>
      <w:r w:rsidRPr="00996BF1">
        <w:rPr>
          <w:sz w:val="24"/>
          <w:szCs w:val="24"/>
        </w:rPr>
        <w:t xml:space="preserve">.  </w:t>
      </w:r>
      <w:r w:rsidR="00CB4C1F">
        <w:rPr>
          <w:sz w:val="24"/>
          <w:szCs w:val="24"/>
        </w:rPr>
        <w:t xml:space="preserve">The University </w:t>
      </w:r>
      <w:proofErr w:type="gramStart"/>
      <w:r w:rsidR="00CB4C1F">
        <w:rPr>
          <w:sz w:val="24"/>
          <w:szCs w:val="24"/>
        </w:rPr>
        <w:t xml:space="preserve">does </w:t>
      </w:r>
      <w:r w:rsidRPr="00996BF1">
        <w:rPr>
          <w:sz w:val="24"/>
          <w:szCs w:val="24"/>
        </w:rPr>
        <w:t xml:space="preserve"> not</w:t>
      </w:r>
      <w:proofErr w:type="gramEnd"/>
      <w:r w:rsidRPr="00996BF1">
        <w:rPr>
          <w:sz w:val="24"/>
          <w:szCs w:val="24"/>
        </w:rPr>
        <w:t xml:space="preserve"> hold nationality data for 17.5% of staff.</w:t>
      </w:r>
    </w:p>
    <w:p w:rsidR="00ED5979" w:rsidRDefault="00EC558B" w:rsidP="00ED5979">
      <w:pPr>
        <w:keepNext/>
        <w:ind w:firstLine="0"/>
      </w:pPr>
      <w:r>
        <w:rPr>
          <w:noProof/>
        </w:rPr>
        <w:lastRenderedPageBreak/>
        <w:drawing>
          <wp:inline distT="0" distB="0" distL="0" distR="0" wp14:anchorId="636C278F" wp14:editId="47368DEA">
            <wp:extent cx="5414010" cy="27559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4010" cy="2755900"/>
                    </a:xfrm>
                    <a:prstGeom prst="rect">
                      <a:avLst/>
                    </a:prstGeom>
                    <a:noFill/>
                  </pic:spPr>
                </pic:pic>
              </a:graphicData>
            </a:graphic>
          </wp:inline>
        </w:drawing>
      </w:r>
    </w:p>
    <w:p w:rsidR="009A0889" w:rsidRDefault="00ED5979" w:rsidP="00ED5979">
      <w:pPr>
        <w:pStyle w:val="Caption"/>
      </w:pPr>
      <w:bookmarkStart w:id="47" w:name="_Toc401575405"/>
      <w:r>
        <w:t xml:space="preserve">Figure </w:t>
      </w:r>
      <w:fldSimple w:instr=" SEQ Figure \* ARABIC ">
        <w:r w:rsidR="00784F84">
          <w:rPr>
            <w:noProof/>
          </w:rPr>
          <w:t>13</w:t>
        </w:r>
      </w:fldSimple>
      <w:r>
        <w:t>: Staff groups by ethnicity and nationality</w:t>
      </w:r>
      <w:bookmarkEnd w:id="47"/>
    </w:p>
    <w:p w:rsidR="006D6FD4" w:rsidRDefault="006D6FD4" w:rsidP="00F86F08">
      <w:pPr>
        <w:ind w:firstLine="0"/>
      </w:pPr>
    </w:p>
    <w:p w:rsidR="009A0889" w:rsidRDefault="009A0889" w:rsidP="00F86F08">
      <w:pPr>
        <w:ind w:firstLine="0"/>
      </w:pPr>
    </w:p>
    <w:p w:rsidR="00ED5979" w:rsidRDefault="00AA7A93" w:rsidP="00ED5979">
      <w:pPr>
        <w:keepNext/>
        <w:ind w:firstLine="0"/>
      </w:pPr>
      <w:r>
        <w:rPr>
          <w:noProof/>
        </w:rPr>
        <w:drawing>
          <wp:inline distT="0" distB="0" distL="0" distR="0" wp14:anchorId="046D862B">
            <wp:extent cx="5414010" cy="28898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4010" cy="2889885"/>
                    </a:xfrm>
                    <a:prstGeom prst="rect">
                      <a:avLst/>
                    </a:prstGeom>
                    <a:noFill/>
                  </pic:spPr>
                </pic:pic>
              </a:graphicData>
            </a:graphic>
          </wp:inline>
        </w:drawing>
      </w:r>
    </w:p>
    <w:p w:rsidR="00377239" w:rsidRDefault="00ED5979" w:rsidP="00ED5979">
      <w:pPr>
        <w:pStyle w:val="Caption"/>
      </w:pPr>
      <w:bookmarkStart w:id="48" w:name="_Toc401575406"/>
      <w:r>
        <w:t xml:space="preserve">Figure </w:t>
      </w:r>
      <w:fldSimple w:instr=" SEQ Figure \* ARABIC ">
        <w:r w:rsidR="00784F84">
          <w:rPr>
            <w:noProof/>
          </w:rPr>
          <w:t>14</w:t>
        </w:r>
      </w:fldSimple>
      <w:r>
        <w:t>:  Staff grades by ethnicity and nationality</w:t>
      </w:r>
      <w:bookmarkEnd w:id="48"/>
    </w:p>
    <w:p w:rsidR="00ED5979" w:rsidRDefault="00ED5979" w:rsidP="00F86F08">
      <w:pPr>
        <w:ind w:firstLine="0"/>
        <w:rPr>
          <w:sz w:val="24"/>
          <w:szCs w:val="24"/>
        </w:rPr>
      </w:pPr>
    </w:p>
    <w:p w:rsidR="009A0889" w:rsidRDefault="00377239" w:rsidP="00F86F08">
      <w:pPr>
        <w:ind w:firstLine="0"/>
        <w:rPr>
          <w:sz w:val="24"/>
          <w:szCs w:val="24"/>
        </w:rPr>
      </w:pPr>
      <w:r w:rsidRPr="00996BF1">
        <w:rPr>
          <w:sz w:val="24"/>
          <w:szCs w:val="24"/>
        </w:rPr>
        <w:t>Grade 7 has the largest proportion of BME staff at 18.6%</w:t>
      </w:r>
      <w:proofErr w:type="gramStart"/>
      <w:r w:rsidRPr="00996BF1">
        <w:rPr>
          <w:sz w:val="24"/>
          <w:szCs w:val="24"/>
        </w:rPr>
        <w:t>,</w:t>
      </w:r>
      <w:proofErr w:type="gramEnd"/>
      <w:r w:rsidRPr="00996BF1">
        <w:rPr>
          <w:sz w:val="24"/>
          <w:szCs w:val="24"/>
        </w:rPr>
        <w:t xml:space="preserve"> this corresponds with having the lowest proportion of respondents with UK Nationality</w:t>
      </w:r>
      <w:r w:rsidR="00A01AB9">
        <w:rPr>
          <w:sz w:val="24"/>
          <w:szCs w:val="24"/>
        </w:rPr>
        <w:t xml:space="preserve"> at </w:t>
      </w:r>
      <w:r w:rsidR="0027662C" w:rsidRPr="00996BF1">
        <w:rPr>
          <w:sz w:val="24"/>
          <w:szCs w:val="24"/>
        </w:rPr>
        <w:t>45.3%</w:t>
      </w:r>
      <w:r w:rsidR="000B2DF7">
        <w:rPr>
          <w:sz w:val="24"/>
          <w:szCs w:val="24"/>
        </w:rPr>
        <w:t xml:space="preserve"> (Figure 14)</w:t>
      </w:r>
      <w:r w:rsidRPr="00996BF1">
        <w:rPr>
          <w:sz w:val="24"/>
          <w:szCs w:val="24"/>
        </w:rPr>
        <w:t>.</w:t>
      </w:r>
    </w:p>
    <w:p w:rsidR="00ED5979" w:rsidRDefault="00ED5979" w:rsidP="00F86F08">
      <w:pPr>
        <w:ind w:firstLine="0"/>
        <w:rPr>
          <w:sz w:val="24"/>
          <w:szCs w:val="24"/>
        </w:rPr>
      </w:pPr>
    </w:p>
    <w:p w:rsidR="00ED5979" w:rsidRPr="00381D1B" w:rsidRDefault="00ED5979" w:rsidP="00ED5979">
      <w:pPr>
        <w:pStyle w:val="Heading3"/>
        <w:rPr>
          <w:color w:val="365F91" w:themeColor="accent1" w:themeShade="BF"/>
        </w:rPr>
      </w:pPr>
      <w:bookmarkStart w:id="49" w:name="_Toc401575372"/>
      <w:r w:rsidRPr="00381D1B">
        <w:rPr>
          <w:color w:val="365F91" w:themeColor="accent1" w:themeShade="BF"/>
        </w:rPr>
        <w:t>3.3.5 Employment status</w:t>
      </w:r>
      <w:bookmarkEnd w:id="49"/>
    </w:p>
    <w:p w:rsidR="00ED5979" w:rsidRPr="00996BF1" w:rsidRDefault="00ED5979" w:rsidP="00ED5979">
      <w:pPr>
        <w:ind w:firstLine="0"/>
        <w:rPr>
          <w:sz w:val="24"/>
          <w:szCs w:val="24"/>
        </w:rPr>
      </w:pPr>
      <w:r w:rsidRPr="00996BF1">
        <w:rPr>
          <w:sz w:val="24"/>
          <w:szCs w:val="24"/>
        </w:rPr>
        <w:t xml:space="preserve">36.8% of BME staff are on a fixed term contract compared to their White - British counterparts for whom 15.9% of contracts are fixed term.  </w:t>
      </w:r>
      <w:r>
        <w:rPr>
          <w:sz w:val="24"/>
          <w:szCs w:val="24"/>
        </w:rPr>
        <w:t>However, all groups seem to have approximately equal representation of Established Academics with White – Other</w:t>
      </w:r>
      <w:r w:rsidR="00CB4C1F">
        <w:rPr>
          <w:sz w:val="24"/>
          <w:szCs w:val="24"/>
        </w:rPr>
        <w:t>,</w:t>
      </w:r>
      <w:r>
        <w:rPr>
          <w:sz w:val="24"/>
          <w:szCs w:val="24"/>
        </w:rPr>
        <w:t xml:space="preserve"> marginally above by 1.6%</w:t>
      </w:r>
      <w:r w:rsidR="000B2DF7">
        <w:rPr>
          <w:sz w:val="24"/>
          <w:szCs w:val="24"/>
        </w:rPr>
        <w:t xml:space="preserve"> (Figure 15)</w:t>
      </w:r>
      <w:r>
        <w:rPr>
          <w:sz w:val="24"/>
          <w:szCs w:val="24"/>
        </w:rPr>
        <w:t>.</w:t>
      </w:r>
    </w:p>
    <w:p w:rsidR="0027662C" w:rsidRPr="00996BF1" w:rsidRDefault="0027662C" w:rsidP="00F86F08">
      <w:pPr>
        <w:ind w:firstLine="0"/>
        <w:rPr>
          <w:sz w:val="24"/>
          <w:szCs w:val="24"/>
        </w:rPr>
      </w:pPr>
    </w:p>
    <w:p w:rsidR="00ED5979" w:rsidRDefault="00C01F95" w:rsidP="00ED5979">
      <w:pPr>
        <w:keepNext/>
        <w:ind w:firstLine="0"/>
      </w:pPr>
      <w:r>
        <w:rPr>
          <w:noProof/>
        </w:rPr>
        <w:lastRenderedPageBreak/>
        <w:drawing>
          <wp:inline distT="0" distB="0" distL="0" distR="0" wp14:anchorId="0252B2F3" wp14:editId="39A7D730">
            <wp:extent cx="5433867" cy="2743200"/>
            <wp:effectExtent l="0" t="0" r="14605"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D5979" w:rsidRDefault="00ED5979" w:rsidP="00ED5979">
      <w:pPr>
        <w:pStyle w:val="Caption"/>
      </w:pPr>
      <w:bookmarkStart w:id="50" w:name="_Toc401575407"/>
      <w:r>
        <w:t xml:space="preserve">Figure </w:t>
      </w:r>
      <w:fldSimple w:instr=" SEQ Figure \* ARABIC ">
        <w:r w:rsidR="00784F84">
          <w:rPr>
            <w:noProof/>
          </w:rPr>
          <w:t>15</w:t>
        </w:r>
      </w:fldSimple>
      <w:r>
        <w:t>:  Employment status by ethnicity</w:t>
      </w:r>
      <w:bookmarkEnd w:id="50"/>
    </w:p>
    <w:p w:rsidR="00FD275F" w:rsidRDefault="00FD275F" w:rsidP="002144BE">
      <w:pPr>
        <w:ind w:firstLine="0"/>
      </w:pPr>
    </w:p>
    <w:p w:rsidR="00FD275F" w:rsidRPr="00996BF1" w:rsidRDefault="00FD275F" w:rsidP="00F86F08">
      <w:pPr>
        <w:ind w:firstLine="0"/>
        <w:rPr>
          <w:sz w:val="24"/>
          <w:szCs w:val="24"/>
        </w:rPr>
      </w:pPr>
    </w:p>
    <w:p w:rsidR="004738B7" w:rsidRPr="00381D1B" w:rsidRDefault="004738B7" w:rsidP="00F86F08">
      <w:pPr>
        <w:pStyle w:val="Heading2"/>
        <w:rPr>
          <w:b/>
        </w:rPr>
      </w:pPr>
      <w:bookmarkStart w:id="51" w:name="_Toc400632058"/>
      <w:bookmarkStart w:id="52" w:name="_Toc401575373"/>
      <w:r w:rsidRPr="00381D1B">
        <w:rPr>
          <w:b/>
        </w:rPr>
        <w:t>3.4 Disability</w:t>
      </w:r>
      <w:bookmarkEnd w:id="51"/>
      <w:bookmarkEnd w:id="52"/>
    </w:p>
    <w:p w:rsidR="00BF7A99" w:rsidRPr="00996BF1" w:rsidRDefault="00347D4E" w:rsidP="00F86F08">
      <w:pPr>
        <w:ind w:firstLine="0"/>
        <w:rPr>
          <w:sz w:val="24"/>
          <w:szCs w:val="24"/>
        </w:rPr>
      </w:pPr>
      <w:r w:rsidRPr="00347D4E">
        <w:rPr>
          <w:sz w:val="24"/>
          <w:szCs w:val="24"/>
        </w:rPr>
        <w:t>During 2012-13, the University established a Wellbeing Steering Group to support the needs of disabled staff. This brought together different support services including Occupational Health, Human Resources, the Staff Counselling Service, the Chaplain to the University Staff, the trade unions and the E&amp;D section.</w:t>
      </w:r>
      <w:r w:rsidR="009B01D3">
        <w:rPr>
          <w:sz w:val="24"/>
          <w:szCs w:val="24"/>
        </w:rPr>
        <w:t xml:space="preserve">  In 2013/</w:t>
      </w:r>
      <w:r>
        <w:rPr>
          <w:sz w:val="24"/>
          <w:szCs w:val="24"/>
        </w:rPr>
        <w:t>14 People Matter Week was developed as part of the Wellbeing strategy and supported by the Disabled Staff Network.</w:t>
      </w:r>
    </w:p>
    <w:p w:rsidR="00BF7A99" w:rsidRPr="00381D1B" w:rsidRDefault="00BF7A99" w:rsidP="00F86F08">
      <w:pPr>
        <w:pStyle w:val="Heading3"/>
        <w:rPr>
          <w:color w:val="365F91" w:themeColor="accent1" w:themeShade="BF"/>
        </w:rPr>
      </w:pPr>
      <w:bookmarkStart w:id="53" w:name="_Toc400632059"/>
      <w:bookmarkStart w:id="54" w:name="_Toc401575374"/>
      <w:r w:rsidRPr="00381D1B">
        <w:rPr>
          <w:color w:val="365F91" w:themeColor="accent1" w:themeShade="BF"/>
        </w:rPr>
        <w:t>3.4.1 Groups and initiatives</w:t>
      </w:r>
      <w:bookmarkEnd w:id="53"/>
      <w:bookmarkEnd w:id="54"/>
    </w:p>
    <w:p w:rsidR="00C01F95" w:rsidRPr="00996BF1" w:rsidRDefault="00C01F95" w:rsidP="00F86F08">
      <w:pPr>
        <w:ind w:firstLine="0"/>
        <w:rPr>
          <w:sz w:val="24"/>
          <w:szCs w:val="24"/>
          <w:u w:val="single"/>
        </w:rPr>
      </w:pPr>
    </w:p>
    <w:p w:rsidR="00CF598C" w:rsidRPr="00996BF1" w:rsidRDefault="00CF598C" w:rsidP="00F86F08">
      <w:pPr>
        <w:ind w:firstLine="0"/>
        <w:rPr>
          <w:sz w:val="24"/>
          <w:szCs w:val="24"/>
          <w:u w:val="single"/>
        </w:rPr>
      </w:pPr>
      <w:r w:rsidRPr="00996BF1">
        <w:rPr>
          <w:sz w:val="24"/>
          <w:szCs w:val="24"/>
          <w:u w:val="single"/>
        </w:rPr>
        <w:t>D</w:t>
      </w:r>
      <w:r w:rsidR="00344706" w:rsidRPr="00996BF1">
        <w:rPr>
          <w:sz w:val="24"/>
          <w:szCs w:val="24"/>
          <w:u w:val="single"/>
        </w:rPr>
        <w:t>isabled</w:t>
      </w:r>
      <w:r w:rsidRPr="00996BF1">
        <w:rPr>
          <w:sz w:val="24"/>
          <w:szCs w:val="24"/>
          <w:u w:val="single"/>
        </w:rPr>
        <w:t xml:space="preserve"> Staff Network </w:t>
      </w:r>
      <w:r w:rsidR="00344706" w:rsidRPr="00996BF1">
        <w:rPr>
          <w:sz w:val="24"/>
          <w:szCs w:val="24"/>
          <w:u w:val="single"/>
        </w:rPr>
        <w:t>(DSN)</w:t>
      </w:r>
      <w:r w:rsidR="006F3665" w:rsidRPr="00996BF1">
        <w:rPr>
          <w:rStyle w:val="FootnoteReference"/>
          <w:sz w:val="24"/>
          <w:szCs w:val="24"/>
          <w:u w:val="single"/>
        </w:rPr>
        <w:footnoteReference w:id="19"/>
      </w:r>
    </w:p>
    <w:p w:rsidR="00344706" w:rsidRPr="00996BF1" w:rsidRDefault="008514FA" w:rsidP="00F86F08">
      <w:pPr>
        <w:ind w:firstLine="0"/>
        <w:rPr>
          <w:sz w:val="24"/>
          <w:szCs w:val="24"/>
        </w:rPr>
      </w:pPr>
      <w:r w:rsidRPr="00996BF1">
        <w:rPr>
          <w:sz w:val="24"/>
          <w:szCs w:val="24"/>
        </w:rPr>
        <w:t>Alongside the University's other Diversity Networks the DSN provides information and support to staff, assists with the co-ordination of diversity events and helps the University to progress equality</w:t>
      </w:r>
    </w:p>
    <w:p w:rsidR="00344706" w:rsidRPr="00996BF1" w:rsidRDefault="00344706" w:rsidP="00F86F08">
      <w:pPr>
        <w:ind w:firstLine="0"/>
        <w:rPr>
          <w:sz w:val="24"/>
          <w:szCs w:val="24"/>
        </w:rPr>
      </w:pPr>
    </w:p>
    <w:p w:rsidR="00CF598C" w:rsidRPr="00996BF1" w:rsidRDefault="00CF598C" w:rsidP="00F86F08">
      <w:pPr>
        <w:ind w:firstLine="0"/>
        <w:rPr>
          <w:sz w:val="24"/>
          <w:szCs w:val="24"/>
          <w:u w:val="single"/>
        </w:rPr>
      </w:pPr>
      <w:r w:rsidRPr="00996BF1">
        <w:rPr>
          <w:sz w:val="24"/>
          <w:szCs w:val="24"/>
          <w:u w:val="single"/>
        </w:rPr>
        <w:t>People Matter Week</w:t>
      </w:r>
      <w:r w:rsidR="008514FA" w:rsidRPr="00996BF1">
        <w:rPr>
          <w:sz w:val="24"/>
          <w:szCs w:val="24"/>
          <w:u w:val="single"/>
        </w:rPr>
        <w:t xml:space="preserve"> (PMW)</w:t>
      </w:r>
      <w:r w:rsidR="006F3665" w:rsidRPr="00996BF1">
        <w:rPr>
          <w:rStyle w:val="FootnoteReference"/>
          <w:sz w:val="24"/>
          <w:szCs w:val="24"/>
          <w:u w:val="single"/>
        </w:rPr>
        <w:footnoteReference w:id="20"/>
      </w:r>
    </w:p>
    <w:p w:rsidR="00DA4179" w:rsidRPr="00996BF1" w:rsidRDefault="008514FA" w:rsidP="00F86F08">
      <w:pPr>
        <w:ind w:firstLine="0"/>
        <w:rPr>
          <w:sz w:val="24"/>
          <w:szCs w:val="24"/>
        </w:rPr>
      </w:pPr>
      <w:r w:rsidRPr="00996BF1">
        <w:rPr>
          <w:sz w:val="24"/>
          <w:szCs w:val="24"/>
        </w:rPr>
        <w:t xml:space="preserve">In 2014, the PMW event took place </w:t>
      </w:r>
      <w:r w:rsidR="00CB4C1F">
        <w:rPr>
          <w:sz w:val="24"/>
          <w:szCs w:val="24"/>
        </w:rPr>
        <w:t>in late</w:t>
      </w:r>
      <w:r w:rsidRPr="00996BF1">
        <w:rPr>
          <w:sz w:val="24"/>
          <w:szCs w:val="24"/>
        </w:rPr>
        <w:t xml:space="preserve"> June 2014.  The University recognises the importance of addressing issues related to stress and wellbeing and actively encouraged staff to take part in a wide range of activities.  </w:t>
      </w:r>
      <w:r w:rsidR="00FB62E3">
        <w:rPr>
          <w:sz w:val="24"/>
          <w:szCs w:val="24"/>
        </w:rPr>
        <w:t>PMW events (yoga, badminton, stress relief, unconscious bias, researcher techniques and University tours) totalled 30 in number</w:t>
      </w:r>
      <w:r w:rsidR="00CB4C1F">
        <w:rPr>
          <w:sz w:val="24"/>
          <w:szCs w:val="24"/>
        </w:rPr>
        <w:t>,</w:t>
      </w:r>
      <w:r w:rsidR="00FB62E3">
        <w:rPr>
          <w:sz w:val="24"/>
          <w:szCs w:val="24"/>
        </w:rPr>
        <w:t xml:space="preserve"> attracting more than </w:t>
      </w:r>
      <w:r w:rsidR="00F10192">
        <w:rPr>
          <w:sz w:val="24"/>
          <w:szCs w:val="24"/>
        </w:rPr>
        <w:t>8</w:t>
      </w:r>
      <w:r w:rsidR="000B4E69">
        <w:rPr>
          <w:sz w:val="24"/>
          <w:szCs w:val="24"/>
        </w:rPr>
        <w:t>00</w:t>
      </w:r>
      <w:r w:rsidR="00FB62E3">
        <w:rPr>
          <w:sz w:val="24"/>
          <w:szCs w:val="24"/>
        </w:rPr>
        <w:t xml:space="preserve"> bookings</w:t>
      </w:r>
      <w:r w:rsidR="00CB4C1F">
        <w:rPr>
          <w:sz w:val="24"/>
          <w:szCs w:val="24"/>
        </w:rPr>
        <w:t xml:space="preserve"> overall</w:t>
      </w:r>
      <w:r w:rsidR="00FB62E3">
        <w:rPr>
          <w:sz w:val="24"/>
          <w:szCs w:val="24"/>
        </w:rPr>
        <w:t xml:space="preserve">.  </w:t>
      </w:r>
    </w:p>
    <w:p w:rsidR="00C01F95" w:rsidRPr="00996BF1" w:rsidRDefault="00C01F95" w:rsidP="00F86F08">
      <w:pPr>
        <w:ind w:firstLine="0"/>
        <w:rPr>
          <w:sz w:val="24"/>
          <w:szCs w:val="24"/>
        </w:rPr>
      </w:pPr>
    </w:p>
    <w:p w:rsidR="00C01F95" w:rsidRPr="00996BF1" w:rsidRDefault="00FD2759" w:rsidP="00F86F08">
      <w:pPr>
        <w:ind w:firstLine="0"/>
        <w:rPr>
          <w:sz w:val="24"/>
          <w:szCs w:val="24"/>
        </w:rPr>
      </w:pPr>
      <w:r>
        <w:rPr>
          <w:noProof/>
        </w:rPr>
        <mc:AlternateContent>
          <mc:Choice Requires="wps">
            <w:drawing>
              <wp:anchor distT="0" distB="0" distL="114300" distR="114300" simplePos="0" relativeHeight="251668480" behindDoc="0" locked="0" layoutInCell="1" allowOverlap="1" wp14:anchorId="76F72E25" wp14:editId="03B22CE5">
                <wp:simplePos x="0" y="0"/>
                <wp:positionH relativeFrom="column">
                  <wp:posOffset>3825875</wp:posOffset>
                </wp:positionH>
                <wp:positionV relativeFrom="paragraph">
                  <wp:posOffset>2065020</wp:posOffset>
                </wp:positionV>
                <wp:extent cx="2429510"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429510" cy="635"/>
                        </a:xfrm>
                        <a:prstGeom prst="rect">
                          <a:avLst/>
                        </a:prstGeom>
                        <a:solidFill>
                          <a:prstClr val="white"/>
                        </a:solidFill>
                        <a:ln>
                          <a:noFill/>
                        </a:ln>
                        <a:effectLst/>
                      </wps:spPr>
                      <wps:txbx>
                        <w:txbxContent>
                          <w:p w:rsidR="00F542D3" w:rsidRPr="00FA3BC5" w:rsidRDefault="00F542D3" w:rsidP="00FD2759">
                            <w:pPr>
                              <w:pStyle w:val="Caption"/>
                              <w:rPr>
                                <w:noProof/>
                                <w:sz w:val="24"/>
                                <w:szCs w:val="24"/>
                              </w:rPr>
                            </w:pPr>
                            <w:bookmarkStart w:id="55" w:name="_Toc401575408"/>
                            <w:r>
                              <w:t xml:space="preserve">Figure </w:t>
                            </w:r>
                            <w:fldSimple w:instr=" SEQ Figure \* ARABIC ">
                              <w:r>
                                <w:rPr>
                                  <w:noProof/>
                                </w:rPr>
                                <w:t>16</w:t>
                              </w:r>
                            </w:fldSimple>
                            <w:r>
                              <w:t>: Disability lecture - Rachel Perkins</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 o:spid="_x0000_s1028" type="#_x0000_t202" style="position:absolute;margin-left:301.25pt;margin-top:162.6pt;width:191.3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" stroked="f">
                <v:textbox style="mso-fit-shape-to-text:t" inset="0,0,0,0">
                  <w:txbxContent>
                    <w:p w:rsidR="00F542D3" w:rsidRPr="00FA3BC5" w:rsidRDefault="00F542D3" w:rsidP="00FD2759">
                      <w:pPr>
                        <w:pStyle w:val="Caption"/>
                        <w:rPr>
                          <w:noProof/>
                          <w:sz w:val="24"/>
                          <w:szCs w:val="24"/>
                        </w:rPr>
                      </w:pPr>
                      <w:bookmarkStart w:id="58" w:name="_Toc401575408"/>
                      <w:r>
                        <w:t xml:space="preserve">Figure </w:t>
                      </w:r>
                      <w:fldSimple w:instr=" SEQ Figure \* ARABIC ">
                        <w:r>
                          <w:rPr>
                            <w:noProof/>
                          </w:rPr>
                          <w:t>16</w:t>
                        </w:r>
                      </w:fldSimple>
                      <w:r>
                        <w:t>: Disability lecture - Rachel Perkins</w:t>
                      </w:r>
                      <w:bookmarkEnd w:id="58"/>
                    </w:p>
                  </w:txbxContent>
                </v:textbox>
                <w10:wrap type="square"/>
              </v:shape>
            </w:pict>
          </mc:Fallback>
        </mc:AlternateContent>
      </w:r>
      <w:r>
        <w:rPr>
          <w:noProof/>
          <w:sz w:val="24"/>
          <w:szCs w:val="24"/>
        </w:rPr>
        <w:drawing>
          <wp:anchor distT="0" distB="0" distL="114300" distR="114300" simplePos="0" relativeHeight="251666432" behindDoc="0" locked="0" layoutInCell="1" allowOverlap="1" wp14:anchorId="6570EC6F" wp14:editId="382B54B6">
            <wp:simplePos x="0" y="0"/>
            <wp:positionH relativeFrom="margin">
              <wp:align>right</wp:align>
            </wp:positionH>
            <wp:positionV relativeFrom="paragraph">
              <wp:posOffset>6350</wp:posOffset>
            </wp:positionV>
            <wp:extent cx="2430000" cy="2001933"/>
            <wp:effectExtent l="0" t="0" r="889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8M_3384sm.jpg"/>
                    <pic:cNvPicPr/>
                  </pic:nvPicPr>
                  <pic:blipFill>
                    <a:blip r:embed="rId30">
                      <a:extLst>
                        <a:ext uri="{28A0092B-C50C-407E-A947-70E740481C1C}">
                          <a14:useLocalDpi xmlns:a14="http://schemas.microsoft.com/office/drawing/2010/main" val="0"/>
                        </a:ext>
                      </a:extLst>
                    </a:blip>
                    <a:stretch>
                      <a:fillRect/>
                    </a:stretch>
                  </pic:blipFill>
                  <pic:spPr>
                    <a:xfrm>
                      <a:off x="0" y="0"/>
                      <a:ext cx="2430000" cy="2001933"/>
                    </a:xfrm>
                    <a:prstGeom prst="rect">
                      <a:avLst/>
                    </a:prstGeom>
                  </pic:spPr>
                </pic:pic>
              </a:graphicData>
            </a:graphic>
            <wp14:sizeRelH relativeFrom="page">
              <wp14:pctWidth>0</wp14:pctWidth>
            </wp14:sizeRelH>
            <wp14:sizeRelV relativeFrom="page">
              <wp14:pctHeight>0</wp14:pctHeight>
            </wp14:sizeRelV>
          </wp:anchor>
        </w:drawing>
      </w:r>
      <w:r w:rsidR="006F3665" w:rsidRPr="00996BF1">
        <w:rPr>
          <w:sz w:val="24"/>
          <w:szCs w:val="24"/>
          <w:u w:val="single"/>
        </w:rPr>
        <w:t>Events</w:t>
      </w:r>
    </w:p>
    <w:p w:rsidR="006F3665" w:rsidRDefault="006F3665" w:rsidP="00F86F08">
      <w:pPr>
        <w:ind w:firstLine="0"/>
        <w:rPr>
          <w:sz w:val="24"/>
          <w:szCs w:val="24"/>
        </w:rPr>
      </w:pPr>
      <w:r w:rsidRPr="00996BF1">
        <w:rPr>
          <w:sz w:val="24"/>
          <w:szCs w:val="24"/>
        </w:rPr>
        <w:t>For International Day for Disabled People a production of autobiographical piece “</w:t>
      </w:r>
      <w:r w:rsidRPr="000B4E69">
        <w:rPr>
          <w:i/>
          <w:sz w:val="24"/>
          <w:szCs w:val="24"/>
        </w:rPr>
        <w:t>Could Be Anyone</w:t>
      </w:r>
      <w:r w:rsidR="00F10192">
        <w:rPr>
          <w:i/>
          <w:sz w:val="24"/>
          <w:szCs w:val="24"/>
        </w:rPr>
        <w:t>”</w:t>
      </w:r>
      <w:r w:rsidRPr="00996BF1">
        <w:rPr>
          <w:sz w:val="24"/>
          <w:szCs w:val="24"/>
        </w:rPr>
        <w:t xml:space="preserve"> based on the adolescence of a Cambridge dyslexic was held at the Howard Theatre.  The Annual Disability Lecture presented by the Disability Resource Centre </w:t>
      </w:r>
      <w:r w:rsidR="00F10192">
        <w:rPr>
          <w:sz w:val="24"/>
          <w:szCs w:val="24"/>
        </w:rPr>
        <w:t>(DRC)</w:t>
      </w:r>
      <w:r w:rsidR="00F10192">
        <w:rPr>
          <w:rStyle w:val="FootnoteReference"/>
          <w:sz w:val="24"/>
          <w:szCs w:val="24"/>
        </w:rPr>
        <w:footnoteReference w:id="21"/>
      </w:r>
      <w:r w:rsidR="00F10192">
        <w:rPr>
          <w:sz w:val="24"/>
          <w:szCs w:val="24"/>
        </w:rPr>
        <w:t xml:space="preserve"> </w:t>
      </w:r>
      <w:r w:rsidRPr="00996BF1">
        <w:rPr>
          <w:sz w:val="24"/>
          <w:szCs w:val="24"/>
        </w:rPr>
        <w:t xml:space="preserve">featured a talk by </w:t>
      </w:r>
      <w:r w:rsidRPr="00996BF1">
        <w:rPr>
          <w:sz w:val="24"/>
          <w:szCs w:val="24"/>
        </w:rPr>
        <w:lastRenderedPageBreak/>
        <w:t>Dr Rachel Perkins, OBE, mental health expert and Mind Champion of the Year 2010</w:t>
      </w:r>
      <w:r w:rsidR="000B2DF7">
        <w:rPr>
          <w:sz w:val="24"/>
          <w:szCs w:val="24"/>
        </w:rPr>
        <w:t xml:space="preserve"> (Figure 16)</w:t>
      </w:r>
      <w:r w:rsidRPr="00996BF1">
        <w:rPr>
          <w:sz w:val="24"/>
          <w:szCs w:val="24"/>
        </w:rPr>
        <w:t>.</w:t>
      </w:r>
    </w:p>
    <w:p w:rsidR="00F951AA" w:rsidRPr="00996BF1" w:rsidRDefault="00F951AA" w:rsidP="00F86F08">
      <w:pPr>
        <w:ind w:firstLine="0"/>
        <w:rPr>
          <w:sz w:val="24"/>
          <w:szCs w:val="24"/>
        </w:rPr>
      </w:pPr>
    </w:p>
    <w:p w:rsidR="00BF7A99" w:rsidRDefault="00BF7A99" w:rsidP="00F86F08">
      <w:pPr>
        <w:ind w:firstLine="0"/>
      </w:pPr>
    </w:p>
    <w:p w:rsidR="00FD2759" w:rsidRDefault="00FD2759" w:rsidP="00F86F08">
      <w:pPr>
        <w:ind w:firstLine="0"/>
      </w:pPr>
    </w:p>
    <w:p w:rsidR="00BF7A99" w:rsidRPr="00381D1B" w:rsidRDefault="00BF7A99" w:rsidP="00F86F08">
      <w:pPr>
        <w:pStyle w:val="Heading3"/>
        <w:rPr>
          <w:color w:val="365F91" w:themeColor="accent1" w:themeShade="BF"/>
        </w:rPr>
      </w:pPr>
      <w:bookmarkStart w:id="56" w:name="_Toc400632060"/>
      <w:bookmarkStart w:id="57" w:name="_Toc401575375"/>
      <w:r w:rsidRPr="00381D1B">
        <w:rPr>
          <w:color w:val="365F91" w:themeColor="accent1" w:themeShade="BF"/>
        </w:rPr>
        <w:t>3.4.2 Staff groups and grades</w:t>
      </w:r>
      <w:bookmarkEnd w:id="56"/>
      <w:bookmarkEnd w:id="57"/>
    </w:p>
    <w:p w:rsidR="003D0037" w:rsidRPr="00996BF1" w:rsidRDefault="004738B7" w:rsidP="00F86F08">
      <w:pPr>
        <w:ind w:firstLine="0"/>
        <w:rPr>
          <w:sz w:val="24"/>
          <w:szCs w:val="24"/>
        </w:rPr>
      </w:pPr>
      <w:r w:rsidRPr="00996BF1">
        <w:rPr>
          <w:sz w:val="24"/>
          <w:szCs w:val="24"/>
        </w:rPr>
        <w:t xml:space="preserve">14.6% of </w:t>
      </w:r>
      <w:r w:rsidR="00C93167" w:rsidRPr="00996BF1">
        <w:rPr>
          <w:sz w:val="24"/>
          <w:szCs w:val="24"/>
        </w:rPr>
        <w:t xml:space="preserve">all </w:t>
      </w:r>
      <w:r w:rsidRPr="00996BF1">
        <w:rPr>
          <w:sz w:val="24"/>
          <w:szCs w:val="24"/>
        </w:rPr>
        <w:t>employees asked about disability resp</w:t>
      </w:r>
      <w:r w:rsidR="00C93167" w:rsidRPr="00996BF1">
        <w:rPr>
          <w:sz w:val="24"/>
          <w:szCs w:val="24"/>
        </w:rPr>
        <w:t>onded to the question, with 2.7</w:t>
      </w:r>
      <w:r w:rsidRPr="00996BF1">
        <w:rPr>
          <w:sz w:val="24"/>
          <w:szCs w:val="24"/>
        </w:rPr>
        <w:t xml:space="preserve">% </w:t>
      </w:r>
      <w:r w:rsidR="00C93167" w:rsidRPr="00996BF1">
        <w:rPr>
          <w:sz w:val="24"/>
          <w:szCs w:val="24"/>
        </w:rPr>
        <w:t>(294)</w:t>
      </w:r>
      <w:r w:rsidR="00373567" w:rsidRPr="00996BF1">
        <w:rPr>
          <w:sz w:val="24"/>
          <w:szCs w:val="24"/>
        </w:rPr>
        <w:t xml:space="preserve"> </w:t>
      </w:r>
      <w:r w:rsidRPr="00996BF1">
        <w:rPr>
          <w:sz w:val="24"/>
          <w:szCs w:val="24"/>
        </w:rPr>
        <w:t>disclosing they had a disability.</w:t>
      </w:r>
      <w:r w:rsidR="00C93167" w:rsidRPr="00996BF1">
        <w:rPr>
          <w:sz w:val="24"/>
          <w:szCs w:val="24"/>
        </w:rPr>
        <w:t xml:space="preserve"> </w:t>
      </w:r>
      <w:r w:rsidR="00C01F95" w:rsidRPr="00996BF1">
        <w:rPr>
          <w:sz w:val="24"/>
          <w:szCs w:val="24"/>
        </w:rPr>
        <w:t xml:space="preserve"> As p</w:t>
      </w:r>
      <w:r w:rsidR="00C93167" w:rsidRPr="00996BF1">
        <w:rPr>
          <w:sz w:val="24"/>
          <w:szCs w:val="24"/>
        </w:rPr>
        <w:t xml:space="preserve">ersonal information is now being collected via online recruitment </w:t>
      </w:r>
      <w:r w:rsidR="00C01F95" w:rsidRPr="00996BF1">
        <w:rPr>
          <w:sz w:val="24"/>
          <w:szCs w:val="24"/>
        </w:rPr>
        <w:t>this</w:t>
      </w:r>
      <w:r w:rsidR="00C93167" w:rsidRPr="00996BF1">
        <w:rPr>
          <w:sz w:val="24"/>
          <w:szCs w:val="24"/>
        </w:rPr>
        <w:t xml:space="preserve"> will allow the University to request data from employees at th</w:t>
      </w:r>
      <w:r w:rsidR="00EF5834" w:rsidRPr="00996BF1">
        <w:rPr>
          <w:sz w:val="24"/>
          <w:szCs w:val="24"/>
        </w:rPr>
        <w:t xml:space="preserve">e beginning of their employment.  It </w:t>
      </w:r>
      <w:r w:rsidR="00C93167" w:rsidRPr="00996BF1">
        <w:rPr>
          <w:sz w:val="24"/>
          <w:szCs w:val="24"/>
        </w:rPr>
        <w:t xml:space="preserve">is expected </w:t>
      </w:r>
      <w:r w:rsidR="00EF5834" w:rsidRPr="00996BF1">
        <w:rPr>
          <w:sz w:val="24"/>
          <w:szCs w:val="24"/>
        </w:rPr>
        <w:t>that this will</w:t>
      </w:r>
      <w:r w:rsidR="00C93167" w:rsidRPr="00996BF1">
        <w:rPr>
          <w:sz w:val="24"/>
          <w:szCs w:val="24"/>
        </w:rPr>
        <w:t xml:space="preserve"> increase </w:t>
      </w:r>
      <w:r w:rsidR="00EF5834" w:rsidRPr="00996BF1">
        <w:rPr>
          <w:sz w:val="24"/>
          <w:szCs w:val="24"/>
        </w:rPr>
        <w:t xml:space="preserve">overall </w:t>
      </w:r>
      <w:r w:rsidR="00C93167" w:rsidRPr="00996BF1">
        <w:rPr>
          <w:sz w:val="24"/>
          <w:szCs w:val="24"/>
        </w:rPr>
        <w:t xml:space="preserve">disclosure rates.  </w:t>
      </w:r>
      <w:r w:rsidR="00373567" w:rsidRPr="00996BF1">
        <w:rPr>
          <w:sz w:val="24"/>
          <w:szCs w:val="24"/>
        </w:rPr>
        <w:t>49% of those who disclosed a disability were categorised as ‘Unspecified’</w:t>
      </w:r>
      <w:r w:rsidR="000B2DF7">
        <w:rPr>
          <w:sz w:val="24"/>
          <w:szCs w:val="24"/>
        </w:rPr>
        <w:t xml:space="preserve"> (Table </w:t>
      </w:r>
      <w:r w:rsidR="00996D4C">
        <w:rPr>
          <w:sz w:val="24"/>
          <w:szCs w:val="24"/>
        </w:rPr>
        <w:t>4</w:t>
      </w:r>
      <w:r w:rsidR="000B2DF7">
        <w:rPr>
          <w:sz w:val="24"/>
          <w:szCs w:val="24"/>
        </w:rPr>
        <w:t>)</w:t>
      </w:r>
      <w:r w:rsidR="00373567" w:rsidRPr="00996BF1">
        <w:rPr>
          <w:sz w:val="24"/>
          <w:szCs w:val="24"/>
        </w:rPr>
        <w:t>.</w:t>
      </w:r>
      <w:r w:rsidR="00BF7A99" w:rsidRPr="00996BF1">
        <w:rPr>
          <w:sz w:val="24"/>
          <w:szCs w:val="24"/>
        </w:rPr>
        <w:t xml:space="preserve">  </w:t>
      </w:r>
    </w:p>
    <w:p w:rsidR="00847AAA" w:rsidRPr="00996BF1" w:rsidRDefault="00847AAA" w:rsidP="00F86F08">
      <w:pPr>
        <w:ind w:firstLine="0"/>
        <w:rPr>
          <w:sz w:val="24"/>
          <w:szCs w:val="24"/>
        </w:rPr>
      </w:pPr>
    </w:p>
    <w:p w:rsidR="00ED5979" w:rsidRDefault="00ED5979" w:rsidP="00ED5979">
      <w:pPr>
        <w:pStyle w:val="Caption"/>
        <w:keepNext/>
      </w:pPr>
      <w:r>
        <w:t xml:space="preserve">Table </w:t>
      </w:r>
      <w:fldSimple w:instr=" SEQ Table \* ARABIC ">
        <w:r w:rsidR="00784F84">
          <w:rPr>
            <w:noProof/>
          </w:rPr>
          <w:t>4</w:t>
        </w:r>
      </w:fldSimple>
      <w:r>
        <w:t>: Disability categories</w:t>
      </w:r>
    </w:p>
    <w:tbl>
      <w:tblPr>
        <w:tblStyle w:val="TableGrid"/>
        <w:tblW w:w="0" w:type="auto"/>
        <w:tblLook w:val="04A0" w:firstRow="1" w:lastRow="0" w:firstColumn="1" w:lastColumn="0" w:noHBand="0" w:noVBand="1"/>
      </w:tblPr>
      <w:tblGrid>
        <w:gridCol w:w="7056"/>
        <w:gridCol w:w="960"/>
      </w:tblGrid>
      <w:tr w:rsidR="00C93167" w:rsidRPr="00996BF1" w:rsidTr="00996D4C">
        <w:trPr>
          <w:trHeight w:val="300"/>
        </w:trPr>
        <w:tc>
          <w:tcPr>
            <w:tcW w:w="7056" w:type="dxa"/>
            <w:shd w:val="clear" w:color="auto" w:fill="F2F2F2" w:themeFill="background1" w:themeFillShade="F2"/>
            <w:noWrap/>
            <w:hideMark/>
          </w:tcPr>
          <w:p w:rsidR="00C93167" w:rsidRPr="00996BF1" w:rsidRDefault="00C93167" w:rsidP="00F86F08">
            <w:pPr>
              <w:ind w:firstLine="0"/>
              <w:rPr>
                <w:b/>
                <w:sz w:val="24"/>
                <w:szCs w:val="24"/>
              </w:rPr>
            </w:pPr>
            <w:r w:rsidRPr="00996BF1">
              <w:rPr>
                <w:b/>
                <w:sz w:val="24"/>
                <w:szCs w:val="24"/>
              </w:rPr>
              <w:t>Disability Category</w:t>
            </w:r>
          </w:p>
        </w:tc>
        <w:tc>
          <w:tcPr>
            <w:tcW w:w="960" w:type="dxa"/>
            <w:shd w:val="clear" w:color="auto" w:fill="F2F2F2" w:themeFill="background1" w:themeFillShade="F2"/>
            <w:noWrap/>
            <w:hideMark/>
          </w:tcPr>
          <w:p w:rsidR="00C93167" w:rsidRPr="00996BF1" w:rsidRDefault="00C93167" w:rsidP="00F86F08">
            <w:pPr>
              <w:ind w:firstLine="0"/>
              <w:rPr>
                <w:b/>
                <w:sz w:val="24"/>
                <w:szCs w:val="24"/>
              </w:rPr>
            </w:pPr>
            <w:r w:rsidRPr="00996BF1">
              <w:rPr>
                <w:b/>
                <w:sz w:val="24"/>
                <w:szCs w:val="24"/>
              </w:rPr>
              <w:t>%*</w:t>
            </w:r>
          </w:p>
        </w:tc>
      </w:tr>
      <w:tr w:rsidR="00C93167" w:rsidRPr="00996BF1" w:rsidTr="002144BE">
        <w:trPr>
          <w:trHeight w:val="300"/>
        </w:trPr>
        <w:tc>
          <w:tcPr>
            <w:tcW w:w="7056" w:type="dxa"/>
            <w:noWrap/>
            <w:hideMark/>
          </w:tcPr>
          <w:p w:rsidR="00C93167" w:rsidRPr="00996BF1" w:rsidRDefault="00C93167" w:rsidP="00F86F08">
            <w:pPr>
              <w:ind w:firstLine="0"/>
              <w:rPr>
                <w:sz w:val="24"/>
                <w:szCs w:val="24"/>
              </w:rPr>
            </w:pPr>
            <w:r w:rsidRPr="00996BF1">
              <w:rPr>
                <w:sz w:val="24"/>
                <w:szCs w:val="24"/>
              </w:rPr>
              <w:t>Blind or a serious visual impairment uncorrected by glasses</w:t>
            </w:r>
          </w:p>
        </w:tc>
        <w:tc>
          <w:tcPr>
            <w:tcW w:w="960" w:type="dxa"/>
            <w:noWrap/>
            <w:hideMark/>
          </w:tcPr>
          <w:p w:rsidR="00C93167" w:rsidRPr="00996BF1" w:rsidRDefault="00C93167" w:rsidP="00F86F08">
            <w:pPr>
              <w:ind w:firstLine="0"/>
              <w:rPr>
                <w:sz w:val="24"/>
                <w:szCs w:val="24"/>
              </w:rPr>
            </w:pPr>
            <w:r w:rsidRPr="00996BF1">
              <w:rPr>
                <w:sz w:val="24"/>
                <w:szCs w:val="24"/>
              </w:rPr>
              <w:t>1%</w:t>
            </w:r>
          </w:p>
        </w:tc>
      </w:tr>
      <w:tr w:rsidR="00C93167" w:rsidRPr="00996BF1" w:rsidTr="002144BE">
        <w:trPr>
          <w:trHeight w:val="300"/>
        </w:trPr>
        <w:tc>
          <w:tcPr>
            <w:tcW w:w="7056" w:type="dxa"/>
            <w:noWrap/>
            <w:hideMark/>
          </w:tcPr>
          <w:p w:rsidR="00C93167" w:rsidRPr="00996BF1" w:rsidRDefault="00C93167" w:rsidP="00F86F08">
            <w:pPr>
              <w:ind w:firstLine="0"/>
              <w:rPr>
                <w:sz w:val="24"/>
                <w:szCs w:val="24"/>
              </w:rPr>
            </w:pPr>
            <w:r w:rsidRPr="00996BF1">
              <w:rPr>
                <w:sz w:val="24"/>
                <w:szCs w:val="24"/>
              </w:rPr>
              <w:t>Deaf or serious hearing impairment</w:t>
            </w:r>
          </w:p>
        </w:tc>
        <w:tc>
          <w:tcPr>
            <w:tcW w:w="960" w:type="dxa"/>
            <w:noWrap/>
            <w:hideMark/>
          </w:tcPr>
          <w:p w:rsidR="00C93167" w:rsidRPr="00996BF1" w:rsidRDefault="00C93167" w:rsidP="00F86F08">
            <w:pPr>
              <w:ind w:firstLine="0"/>
              <w:rPr>
                <w:sz w:val="24"/>
                <w:szCs w:val="24"/>
              </w:rPr>
            </w:pPr>
            <w:r w:rsidRPr="00996BF1">
              <w:rPr>
                <w:sz w:val="24"/>
                <w:szCs w:val="24"/>
              </w:rPr>
              <w:t>6%</w:t>
            </w:r>
          </w:p>
        </w:tc>
      </w:tr>
      <w:tr w:rsidR="00C93167" w:rsidRPr="00996BF1" w:rsidTr="002144BE">
        <w:trPr>
          <w:trHeight w:val="300"/>
        </w:trPr>
        <w:tc>
          <w:tcPr>
            <w:tcW w:w="7056" w:type="dxa"/>
            <w:noWrap/>
            <w:hideMark/>
          </w:tcPr>
          <w:p w:rsidR="00C93167" w:rsidRPr="00996BF1" w:rsidRDefault="00C93167" w:rsidP="00F86F08">
            <w:pPr>
              <w:ind w:firstLine="0"/>
              <w:rPr>
                <w:sz w:val="24"/>
                <w:szCs w:val="24"/>
              </w:rPr>
            </w:pPr>
            <w:r w:rsidRPr="00996BF1">
              <w:rPr>
                <w:sz w:val="24"/>
                <w:szCs w:val="24"/>
              </w:rPr>
              <w:t>Long standing illness or health condition e.g. cancer, HIV, diabetes etc.</w:t>
            </w:r>
          </w:p>
        </w:tc>
        <w:tc>
          <w:tcPr>
            <w:tcW w:w="960" w:type="dxa"/>
            <w:noWrap/>
            <w:hideMark/>
          </w:tcPr>
          <w:p w:rsidR="00C93167" w:rsidRPr="00996BF1" w:rsidRDefault="00C93167" w:rsidP="00F86F08">
            <w:pPr>
              <w:ind w:firstLine="0"/>
              <w:rPr>
                <w:sz w:val="24"/>
                <w:szCs w:val="24"/>
              </w:rPr>
            </w:pPr>
            <w:r w:rsidRPr="00996BF1">
              <w:rPr>
                <w:sz w:val="24"/>
                <w:szCs w:val="24"/>
              </w:rPr>
              <w:t>19%</w:t>
            </w:r>
          </w:p>
        </w:tc>
      </w:tr>
      <w:tr w:rsidR="00C93167" w:rsidRPr="00996BF1" w:rsidTr="002144BE">
        <w:trPr>
          <w:trHeight w:val="300"/>
        </w:trPr>
        <w:tc>
          <w:tcPr>
            <w:tcW w:w="7056" w:type="dxa"/>
            <w:noWrap/>
            <w:hideMark/>
          </w:tcPr>
          <w:p w:rsidR="00C93167" w:rsidRPr="00996BF1" w:rsidRDefault="00C93167" w:rsidP="00F86F08">
            <w:pPr>
              <w:ind w:firstLine="0"/>
              <w:rPr>
                <w:sz w:val="24"/>
                <w:szCs w:val="24"/>
              </w:rPr>
            </w:pPr>
            <w:r w:rsidRPr="00996BF1">
              <w:rPr>
                <w:sz w:val="24"/>
                <w:szCs w:val="24"/>
              </w:rPr>
              <w:t>Mental health condition, such as depression, schizophrenia or anxiety disorder</w:t>
            </w:r>
          </w:p>
        </w:tc>
        <w:tc>
          <w:tcPr>
            <w:tcW w:w="960" w:type="dxa"/>
            <w:noWrap/>
            <w:hideMark/>
          </w:tcPr>
          <w:p w:rsidR="00C93167" w:rsidRPr="00996BF1" w:rsidRDefault="00C93167" w:rsidP="00F86F08">
            <w:pPr>
              <w:ind w:firstLine="0"/>
              <w:rPr>
                <w:sz w:val="24"/>
                <w:szCs w:val="24"/>
              </w:rPr>
            </w:pPr>
            <w:r w:rsidRPr="00996BF1">
              <w:rPr>
                <w:sz w:val="24"/>
                <w:szCs w:val="24"/>
              </w:rPr>
              <w:t>6%</w:t>
            </w:r>
          </w:p>
        </w:tc>
      </w:tr>
      <w:tr w:rsidR="00C93167" w:rsidRPr="00996BF1" w:rsidTr="002144BE">
        <w:trPr>
          <w:trHeight w:val="300"/>
        </w:trPr>
        <w:tc>
          <w:tcPr>
            <w:tcW w:w="7056" w:type="dxa"/>
            <w:noWrap/>
            <w:hideMark/>
          </w:tcPr>
          <w:p w:rsidR="00C93167" w:rsidRPr="00996BF1" w:rsidRDefault="00C93167" w:rsidP="00F86F08">
            <w:pPr>
              <w:ind w:firstLine="0"/>
              <w:rPr>
                <w:sz w:val="24"/>
                <w:szCs w:val="24"/>
              </w:rPr>
            </w:pPr>
            <w:r w:rsidRPr="00996BF1">
              <w:rPr>
                <w:sz w:val="24"/>
                <w:szCs w:val="24"/>
              </w:rPr>
              <w:t>Physical impairment or mobility issues e.g. difficulty using arms or legs</w:t>
            </w:r>
          </w:p>
        </w:tc>
        <w:tc>
          <w:tcPr>
            <w:tcW w:w="960" w:type="dxa"/>
            <w:noWrap/>
            <w:hideMark/>
          </w:tcPr>
          <w:p w:rsidR="00C93167" w:rsidRPr="00996BF1" w:rsidRDefault="00C93167" w:rsidP="00F86F08">
            <w:pPr>
              <w:ind w:firstLine="0"/>
              <w:rPr>
                <w:sz w:val="24"/>
                <w:szCs w:val="24"/>
              </w:rPr>
            </w:pPr>
            <w:r w:rsidRPr="00996BF1">
              <w:rPr>
                <w:sz w:val="24"/>
                <w:szCs w:val="24"/>
              </w:rPr>
              <w:t>8%</w:t>
            </w:r>
          </w:p>
        </w:tc>
      </w:tr>
      <w:tr w:rsidR="00C93167" w:rsidRPr="00996BF1" w:rsidTr="002144BE">
        <w:trPr>
          <w:trHeight w:val="300"/>
        </w:trPr>
        <w:tc>
          <w:tcPr>
            <w:tcW w:w="7056" w:type="dxa"/>
            <w:noWrap/>
            <w:hideMark/>
          </w:tcPr>
          <w:p w:rsidR="00C93167" w:rsidRPr="00996BF1" w:rsidRDefault="00C93167" w:rsidP="00F86F08">
            <w:pPr>
              <w:ind w:firstLine="0"/>
              <w:rPr>
                <w:sz w:val="24"/>
                <w:szCs w:val="24"/>
              </w:rPr>
            </w:pPr>
            <w:r w:rsidRPr="00996BF1">
              <w:rPr>
                <w:sz w:val="24"/>
                <w:szCs w:val="24"/>
              </w:rPr>
              <w:t>Social/communication impairment e.g. Asperger's or other autistic disorder</w:t>
            </w:r>
          </w:p>
        </w:tc>
        <w:tc>
          <w:tcPr>
            <w:tcW w:w="960" w:type="dxa"/>
            <w:noWrap/>
            <w:hideMark/>
          </w:tcPr>
          <w:p w:rsidR="00C93167" w:rsidRPr="00996BF1" w:rsidRDefault="00C93167" w:rsidP="00F86F08">
            <w:pPr>
              <w:ind w:firstLine="0"/>
              <w:rPr>
                <w:sz w:val="24"/>
                <w:szCs w:val="24"/>
              </w:rPr>
            </w:pPr>
            <w:r w:rsidRPr="00996BF1">
              <w:rPr>
                <w:sz w:val="24"/>
                <w:szCs w:val="24"/>
              </w:rPr>
              <w:t>1%</w:t>
            </w:r>
          </w:p>
        </w:tc>
      </w:tr>
      <w:tr w:rsidR="00C93167" w:rsidRPr="00996BF1" w:rsidTr="002144BE">
        <w:trPr>
          <w:trHeight w:val="300"/>
        </w:trPr>
        <w:tc>
          <w:tcPr>
            <w:tcW w:w="7056" w:type="dxa"/>
            <w:noWrap/>
            <w:hideMark/>
          </w:tcPr>
          <w:p w:rsidR="00C93167" w:rsidRPr="00996BF1" w:rsidRDefault="00C93167" w:rsidP="00F86F08">
            <w:pPr>
              <w:ind w:firstLine="0"/>
              <w:rPr>
                <w:sz w:val="24"/>
                <w:szCs w:val="24"/>
              </w:rPr>
            </w:pPr>
            <w:r w:rsidRPr="00996BF1">
              <w:rPr>
                <w:sz w:val="24"/>
                <w:szCs w:val="24"/>
              </w:rPr>
              <w:t>Specific learning difficulty such as dyslexia, dyspraxia or AD(H)D</w:t>
            </w:r>
          </w:p>
        </w:tc>
        <w:tc>
          <w:tcPr>
            <w:tcW w:w="960" w:type="dxa"/>
            <w:noWrap/>
            <w:hideMark/>
          </w:tcPr>
          <w:p w:rsidR="00C93167" w:rsidRPr="00996BF1" w:rsidRDefault="00C93167" w:rsidP="00F86F08">
            <w:pPr>
              <w:ind w:firstLine="0"/>
              <w:rPr>
                <w:sz w:val="24"/>
                <w:szCs w:val="24"/>
              </w:rPr>
            </w:pPr>
            <w:r w:rsidRPr="00996BF1">
              <w:rPr>
                <w:sz w:val="24"/>
                <w:szCs w:val="24"/>
              </w:rPr>
              <w:t>11%</w:t>
            </w:r>
          </w:p>
        </w:tc>
      </w:tr>
      <w:tr w:rsidR="00C93167" w:rsidRPr="00996BF1" w:rsidTr="002144BE">
        <w:trPr>
          <w:trHeight w:val="300"/>
        </w:trPr>
        <w:tc>
          <w:tcPr>
            <w:tcW w:w="7056" w:type="dxa"/>
            <w:noWrap/>
            <w:hideMark/>
          </w:tcPr>
          <w:p w:rsidR="00C93167" w:rsidRPr="00996BF1" w:rsidRDefault="00C93167" w:rsidP="00F86F08">
            <w:pPr>
              <w:ind w:firstLine="0"/>
              <w:rPr>
                <w:sz w:val="24"/>
                <w:szCs w:val="24"/>
              </w:rPr>
            </w:pPr>
            <w:r w:rsidRPr="00996BF1">
              <w:rPr>
                <w:sz w:val="24"/>
                <w:szCs w:val="24"/>
              </w:rPr>
              <w:t>Unspecified disability</w:t>
            </w:r>
          </w:p>
        </w:tc>
        <w:tc>
          <w:tcPr>
            <w:tcW w:w="960" w:type="dxa"/>
            <w:noWrap/>
            <w:hideMark/>
          </w:tcPr>
          <w:p w:rsidR="00C93167" w:rsidRPr="00996BF1" w:rsidRDefault="00C93167" w:rsidP="00F86F08">
            <w:pPr>
              <w:ind w:firstLine="0"/>
              <w:rPr>
                <w:sz w:val="24"/>
                <w:szCs w:val="24"/>
              </w:rPr>
            </w:pPr>
            <w:r w:rsidRPr="00996BF1">
              <w:rPr>
                <w:sz w:val="24"/>
                <w:szCs w:val="24"/>
              </w:rPr>
              <w:t>49%</w:t>
            </w:r>
          </w:p>
        </w:tc>
      </w:tr>
      <w:tr w:rsidR="00C93167" w:rsidRPr="00996BF1" w:rsidTr="002144BE">
        <w:trPr>
          <w:trHeight w:val="300"/>
        </w:trPr>
        <w:tc>
          <w:tcPr>
            <w:tcW w:w="7056" w:type="dxa"/>
            <w:noWrap/>
            <w:hideMark/>
          </w:tcPr>
          <w:p w:rsidR="00C93167" w:rsidRPr="00996BF1" w:rsidRDefault="00373567" w:rsidP="00F86F08">
            <w:pPr>
              <w:ind w:firstLine="0"/>
              <w:rPr>
                <w:b/>
                <w:sz w:val="24"/>
                <w:szCs w:val="24"/>
              </w:rPr>
            </w:pPr>
            <w:r w:rsidRPr="00996BF1">
              <w:rPr>
                <w:b/>
                <w:sz w:val="24"/>
                <w:szCs w:val="24"/>
              </w:rPr>
              <w:t>Total</w:t>
            </w:r>
          </w:p>
        </w:tc>
        <w:tc>
          <w:tcPr>
            <w:tcW w:w="960" w:type="dxa"/>
            <w:noWrap/>
            <w:hideMark/>
          </w:tcPr>
          <w:p w:rsidR="00C93167" w:rsidRPr="00996BF1" w:rsidRDefault="00C93167" w:rsidP="00F86F08">
            <w:pPr>
              <w:ind w:firstLine="0"/>
              <w:rPr>
                <w:b/>
                <w:sz w:val="24"/>
                <w:szCs w:val="24"/>
              </w:rPr>
            </w:pPr>
            <w:r w:rsidRPr="00996BF1">
              <w:rPr>
                <w:b/>
                <w:sz w:val="24"/>
                <w:szCs w:val="24"/>
              </w:rPr>
              <w:t>100%</w:t>
            </w:r>
          </w:p>
        </w:tc>
      </w:tr>
      <w:tr w:rsidR="00373567" w:rsidRPr="00996BF1" w:rsidTr="002144BE">
        <w:trPr>
          <w:trHeight w:val="300"/>
        </w:trPr>
        <w:tc>
          <w:tcPr>
            <w:tcW w:w="7056" w:type="dxa"/>
            <w:noWrap/>
          </w:tcPr>
          <w:p w:rsidR="00373567" w:rsidRPr="00996BF1" w:rsidRDefault="00373567" w:rsidP="00F86F08">
            <w:pPr>
              <w:ind w:firstLine="0"/>
              <w:rPr>
                <w:sz w:val="24"/>
                <w:szCs w:val="24"/>
              </w:rPr>
            </w:pPr>
            <w:r w:rsidRPr="00996BF1">
              <w:rPr>
                <w:sz w:val="24"/>
                <w:szCs w:val="24"/>
              </w:rPr>
              <w:t>*% of staff who disclosed a disability excluding unknowns</w:t>
            </w:r>
          </w:p>
        </w:tc>
        <w:tc>
          <w:tcPr>
            <w:tcW w:w="960" w:type="dxa"/>
            <w:noWrap/>
          </w:tcPr>
          <w:p w:rsidR="00373567" w:rsidRPr="00996BF1" w:rsidRDefault="00373567" w:rsidP="00F86F08">
            <w:pPr>
              <w:ind w:firstLine="0"/>
              <w:rPr>
                <w:sz w:val="24"/>
                <w:szCs w:val="24"/>
              </w:rPr>
            </w:pPr>
          </w:p>
        </w:tc>
      </w:tr>
    </w:tbl>
    <w:p w:rsidR="00C93167" w:rsidRPr="00996BF1" w:rsidRDefault="00C93167" w:rsidP="00F86F08">
      <w:pPr>
        <w:ind w:firstLine="0"/>
        <w:rPr>
          <w:sz w:val="24"/>
          <w:szCs w:val="24"/>
        </w:rPr>
      </w:pPr>
    </w:p>
    <w:p w:rsidR="008514FA" w:rsidRPr="00996BF1" w:rsidRDefault="00CF598C" w:rsidP="00F86F08">
      <w:pPr>
        <w:ind w:firstLine="0"/>
        <w:rPr>
          <w:sz w:val="24"/>
          <w:szCs w:val="24"/>
        </w:rPr>
      </w:pPr>
      <w:r w:rsidRPr="00996BF1">
        <w:rPr>
          <w:sz w:val="24"/>
          <w:szCs w:val="24"/>
        </w:rPr>
        <w:t>The disclosure rate</w:t>
      </w:r>
      <w:r w:rsidR="00EF5834" w:rsidRPr="00996BF1">
        <w:rPr>
          <w:sz w:val="24"/>
          <w:szCs w:val="24"/>
        </w:rPr>
        <w:t xml:space="preserve"> </w:t>
      </w:r>
      <w:r w:rsidRPr="00996BF1">
        <w:rPr>
          <w:sz w:val="24"/>
          <w:szCs w:val="24"/>
        </w:rPr>
        <w:t>by</w:t>
      </w:r>
      <w:r w:rsidR="00EF5834" w:rsidRPr="00996BF1">
        <w:rPr>
          <w:sz w:val="24"/>
          <w:szCs w:val="24"/>
        </w:rPr>
        <w:t xml:space="preserve"> staff </w:t>
      </w:r>
      <w:r w:rsidRPr="00996BF1">
        <w:rPr>
          <w:sz w:val="24"/>
          <w:szCs w:val="24"/>
        </w:rPr>
        <w:t xml:space="preserve">grade </w:t>
      </w:r>
      <w:r w:rsidR="00EF5834" w:rsidRPr="00996BF1">
        <w:rPr>
          <w:sz w:val="24"/>
          <w:szCs w:val="24"/>
        </w:rPr>
        <w:t>was above average</w:t>
      </w:r>
      <w:r w:rsidR="00F542D3">
        <w:rPr>
          <w:sz w:val="24"/>
          <w:szCs w:val="24"/>
        </w:rPr>
        <w:t xml:space="preserve"> for Grades 1-9 with the peak at G</w:t>
      </w:r>
      <w:r w:rsidRPr="00996BF1">
        <w:rPr>
          <w:sz w:val="24"/>
          <w:szCs w:val="24"/>
        </w:rPr>
        <w:t xml:space="preserve">rade 7 </w:t>
      </w:r>
      <w:r w:rsidR="00310D80" w:rsidRPr="00996BF1">
        <w:rPr>
          <w:sz w:val="24"/>
          <w:szCs w:val="24"/>
        </w:rPr>
        <w:t>(</w:t>
      </w:r>
      <w:r w:rsidRPr="00996BF1">
        <w:rPr>
          <w:sz w:val="24"/>
          <w:szCs w:val="24"/>
        </w:rPr>
        <w:t>18.8%</w:t>
      </w:r>
      <w:r w:rsidR="00310D80" w:rsidRPr="00996BF1">
        <w:rPr>
          <w:sz w:val="24"/>
          <w:szCs w:val="24"/>
        </w:rPr>
        <w:t>)</w:t>
      </w:r>
      <w:r w:rsidR="008031EB" w:rsidRPr="00996BF1">
        <w:rPr>
          <w:sz w:val="24"/>
          <w:szCs w:val="24"/>
        </w:rPr>
        <w:t xml:space="preserve"> and generally decreases as the grade increases</w:t>
      </w:r>
      <w:r w:rsidR="000B2DF7">
        <w:rPr>
          <w:sz w:val="24"/>
          <w:szCs w:val="24"/>
        </w:rPr>
        <w:t xml:space="preserve"> (Figure 17)</w:t>
      </w:r>
      <w:r w:rsidRPr="00996BF1">
        <w:rPr>
          <w:sz w:val="24"/>
          <w:szCs w:val="24"/>
        </w:rPr>
        <w:t xml:space="preserve">.  </w:t>
      </w:r>
    </w:p>
    <w:p w:rsidR="008031EB" w:rsidRDefault="008031EB" w:rsidP="00F86F08">
      <w:pPr>
        <w:ind w:firstLine="0"/>
      </w:pPr>
    </w:p>
    <w:p w:rsidR="00ED5979" w:rsidRDefault="00AF797F" w:rsidP="00ED5979">
      <w:pPr>
        <w:keepNext/>
        <w:ind w:firstLine="0"/>
      </w:pPr>
      <w:r>
        <w:rPr>
          <w:noProof/>
        </w:rPr>
        <w:drawing>
          <wp:inline distT="0" distB="0" distL="0" distR="0" wp14:anchorId="715DA3A7" wp14:editId="305C4032">
            <wp:extent cx="5450205" cy="27559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0205" cy="2755900"/>
                    </a:xfrm>
                    <a:prstGeom prst="rect">
                      <a:avLst/>
                    </a:prstGeom>
                    <a:noFill/>
                  </pic:spPr>
                </pic:pic>
              </a:graphicData>
            </a:graphic>
          </wp:inline>
        </w:drawing>
      </w:r>
    </w:p>
    <w:p w:rsidR="00CF598C" w:rsidRDefault="00ED5979" w:rsidP="00ED5979">
      <w:pPr>
        <w:pStyle w:val="Caption"/>
      </w:pPr>
      <w:bookmarkStart w:id="58" w:name="_Toc401575409"/>
      <w:r>
        <w:t xml:space="preserve">Figure </w:t>
      </w:r>
      <w:fldSimple w:instr=" SEQ Figure \* ARABIC ">
        <w:r w:rsidR="00784F84">
          <w:rPr>
            <w:noProof/>
          </w:rPr>
          <w:t>17</w:t>
        </w:r>
      </w:fldSimple>
      <w:r>
        <w:t>: Disability disclosure rate by grade</w:t>
      </w:r>
      <w:bookmarkEnd w:id="58"/>
    </w:p>
    <w:p w:rsidR="00C93167" w:rsidRDefault="00C93167" w:rsidP="00F86F08">
      <w:pPr>
        <w:ind w:firstLine="0"/>
      </w:pPr>
    </w:p>
    <w:p w:rsidR="008031EB" w:rsidRPr="00996BF1" w:rsidRDefault="00472598" w:rsidP="00F86F08">
      <w:pPr>
        <w:ind w:firstLine="0"/>
        <w:rPr>
          <w:sz w:val="24"/>
          <w:szCs w:val="24"/>
        </w:rPr>
      </w:pPr>
      <w:r>
        <w:rPr>
          <w:sz w:val="24"/>
          <w:szCs w:val="24"/>
        </w:rPr>
        <w:t>Among staff groups, A</w:t>
      </w:r>
      <w:r w:rsidR="008031EB" w:rsidRPr="00996BF1">
        <w:rPr>
          <w:sz w:val="24"/>
          <w:szCs w:val="24"/>
        </w:rPr>
        <w:t>cademic-related had the highest</w:t>
      </w:r>
      <w:r>
        <w:rPr>
          <w:sz w:val="24"/>
          <w:szCs w:val="24"/>
        </w:rPr>
        <w:t xml:space="preserve"> disclosure rate at 17.5% with A</w:t>
      </w:r>
      <w:r w:rsidR="008031EB" w:rsidRPr="00996BF1">
        <w:rPr>
          <w:sz w:val="24"/>
          <w:szCs w:val="24"/>
        </w:rPr>
        <w:t>cademics at the bottom end with 1</w:t>
      </w:r>
      <w:r>
        <w:rPr>
          <w:sz w:val="24"/>
          <w:szCs w:val="24"/>
        </w:rPr>
        <w:t>0.2%, Researchers at 16.0% and A</w:t>
      </w:r>
      <w:r w:rsidR="008031EB" w:rsidRPr="00996BF1">
        <w:rPr>
          <w:sz w:val="24"/>
          <w:szCs w:val="24"/>
        </w:rPr>
        <w:t>ssistant staff at 14.0%.  23.8% of staff with a disability work part-time, compared to 20.0% overall.  13.2% of staff with a disability are on a fixed term contract, compared to 26.0% of staff overall.</w:t>
      </w:r>
    </w:p>
    <w:p w:rsidR="00AF797F" w:rsidRPr="00996BF1" w:rsidRDefault="00AF797F" w:rsidP="00F86F08">
      <w:pPr>
        <w:ind w:firstLine="0"/>
        <w:rPr>
          <w:sz w:val="24"/>
          <w:szCs w:val="24"/>
        </w:rPr>
      </w:pPr>
    </w:p>
    <w:p w:rsidR="00D15F50" w:rsidRPr="00996BF1" w:rsidRDefault="00093F70" w:rsidP="00AF797F">
      <w:pPr>
        <w:ind w:firstLine="0"/>
        <w:rPr>
          <w:sz w:val="24"/>
          <w:szCs w:val="24"/>
        </w:rPr>
      </w:pPr>
      <w:r w:rsidRPr="00996BF1">
        <w:rPr>
          <w:sz w:val="24"/>
          <w:szCs w:val="24"/>
        </w:rPr>
        <w:t xml:space="preserve">There is no clear difference in disclosure rate between those who are on fixed-term versus permanent contracts </w:t>
      </w:r>
      <w:r w:rsidR="00C813CD" w:rsidRPr="00996BF1">
        <w:rPr>
          <w:sz w:val="24"/>
          <w:szCs w:val="24"/>
        </w:rPr>
        <w:t>or</w:t>
      </w:r>
      <w:r w:rsidRPr="00996BF1">
        <w:rPr>
          <w:sz w:val="24"/>
          <w:szCs w:val="24"/>
        </w:rPr>
        <w:t xml:space="preserve"> between those who worked part-time and full-time.</w:t>
      </w:r>
      <w:r w:rsidR="00310D80" w:rsidRPr="00996BF1">
        <w:rPr>
          <w:sz w:val="24"/>
          <w:szCs w:val="24"/>
        </w:rPr>
        <w:t xml:space="preserve">  </w:t>
      </w:r>
    </w:p>
    <w:p w:rsidR="00D15F50" w:rsidRDefault="00D15F50" w:rsidP="00F86F08">
      <w:pPr>
        <w:ind w:firstLine="0"/>
      </w:pPr>
    </w:p>
    <w:p w:rsidR="00D15F50" w:rsidRPr="00381D1B" w:rsidRDefault="00D15F50" w:rsidP="00F86F08">
      <w:pPr>
        <w:pStyle w:val="Heading2"/>
        <w:rPr>
          <w:b/>
        </w:rPr>
      </w:pPr>
      <w:bookmarkStart w:id="59" w:name="_Toc400632061"/>
      <w:bookmarkStart w:id="60" w:name="_Toc401575376"/>
      <w:r w:rsidRPr="00381D1B">
        <w:rPr>
          <w:b/>
        </w:rPr>
        <w:t>3.5 Age</w:t>
      </w:r>
      <w:bookmarkEnd w:id="59"/>
      <w:bookmarkEnd w:id="60"/>
    </w:p>
    <w:p w:rsidR="00D15F50" w:rsidRDefault="004D7903" w:rsidP="00F86F08">
      <w:pPr>
        <w:ind w:firstLine="0"/>
        <w:rPr>
          <w:sz w:val="24"/>
          <w:szCs w:val="24"/>
        </w:rPr>
      </w:pPr>
      <w:r w:rsidRPr="00996BF1">
        <w:rPr>
          <w:sz w:val="24"/>
          <w:szCs w:val="24"/>
        </w:rPr>
        <w:t>The median age of staff at the University on 31 July 2014 was 41 yea</w:t>
      </w:r>
      <w:r w:rsidR="00D52BEB" w:rsidRPr="00996BF1">
        <w:rPr>
          <w:sz w:val="24"/>
          <w:szCs w:val="24"/>
        </w:rPr>
        <w:t xml:space="preserve">rs with a mean of 42 which shows a </w:t>
      </w:r>
      <w:r w:rsidRPr="00996BF1">
        <w:rPr>
          <w:sz w:val="24"/>
          <w:szCs w:val="24"/>
        </w:rPr>
        <w:t xml:space="preserve">slight decrease of one year in both </w:t>
      </w:r>
      <w:r w:rsidR="000B2DF7">
        <w:rPr>
          <w:sz w:val="24"/>
          <w:szCs w:val="24"/>
        </w:rPr>
        <w:t>for</w:t>
      </w:r>
      <w:r w:rsidRPr="00996BF1">
        <w:rPr>
          <w:sz w:val="24"/>
          <w:szCs w:val="24"/>
        </w:rPr>
        <w:t xml:space="preserve"> the 2012/13 data.</w:t>
      </w:r>
      <w:r w:rsidR="005943CB" w:rsidRPr="00996BF1">
        <w:rPr>
          <w:sz w:val="24"/>
          <w:szCs w:val="24"/>
        </w:rPr>
        <w:t xml:space="preserve">  The percentage of female staff represented in age groups decreases as the age increases</w:t>
      </w:r>
      <w:r w:rsidR="000B2DF7">
        <w:rPr>
          <w:sz w:val="24"/>
          <w:szCs w:val="24"/>
        </w:rPr>
        <w:t xml:space="preserve"> (Figure 18)</w:t>
      </w:r>
      <w:r w:rsidR="005943CB" w:rsidRPr="00996BF1">
        <w:rPr>
          <w:sz w:val="24"/>
          <w:szCs w:val="24"/>
        </w:rPr>
        <w:t>.</w:t>
      </w:r>
    </w:p>
    <w:p w:rsidR="003B00CE" w:rsidRPr="00996BF1" w:rsidRDefault="003B00CE" w:rsidP="00F86F08">
      <w:pPr>
        <w:ind w:firstLine="0"/>
        <w:rPr>
          <w:sz w:val="24"/>
          <w:szCs w:val="24"/>
        </w:rPr>
      </w:pPr>
    </w:p>
    <w:p w:rsidR="00C813CD" w:rsidRDefault="00921B4B" w:rsidP="00C813CD">
      <w:pPr>
        <w:keepNext/>
        <w:ind w:firstLine="0"/>
      </w:pPr>
      <w:r>
        <w:rPr>
          <w:noProof/>
        </w:rPr>
        <w:drawing>
          <wp:inline distT="0" distB="0" distL="0" distR="0" wp14:anchorId="5E1781AC" wp14:editId="46D69693">
            <wp:extent cx="5414010" cy="27559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4010" cy="2755900"/>
                    </a:xfrm>
                    <a:prstGeom prst="rect">
                      <a:avLst/>
                    </a:prstGeom>
                    <a:noFill/>
                  </pic:spPr>
                </pic:pic>
              </a:graphicData>
            </a:graphic>
          </wp:inline>
        </w:drawing>
      </w:r>
    </w:p>
    <w:p w:rsidR="00921B4B" w:rsidRDefault="00C813CD" w:rsidP="00C813CD">
      <w:pPr>
        <w:pStyle w:val="Caption"/>
      </w:pPr>
      <w:bookmarkStart w:id="61" w:name="_Toc401575410"/>
      <w:r>
        <w:t xml:space="preserve">Figure </w:t>
      </w:r>
      <w:fldSimple w:instr=" SEQ Figure \* ARABIC ">
        <w:r w:rsidR="00784F84">
          <w:rPr>
            <w:noProof/>
          </w:rPr>
          <w:t>18</w:t>
        </w:r>
      </w:fldSimple>
      <w:r>
        <w:t>: Age by gender</w:t>
      </w:r>
      <w:bookmarkEnd w:id="61"/>
    </w:p>
    <w:p w:rsidR="00D15F50" w:rsidRDefault="00D15F50" w:rsidP="00F86F08">
      <w:pPr>
        <w:ind w:firstLine="0"/>
      </w:pPr>
    </w:p>
    <w:p w:rsidR="00D15F50" w:rsidRDefault="00D15F50" w:rsidP="00F86F08">
      <w:pPr>
        <w:ind w:firstLine="0"/>
      </w:pPr>
    </w:p>
    <w:p w:rsidR="00C813CD" w:rsidRPr="00381D1B" w:rsidRDefault="00C813CD" w:rsidP="00C813CD">
      <w:pPr>
        <w:pStyle w:val="Heading2"/>
        <w:rPr>
          <w:b/>
        </w:rPr>
      </w:pPr>
      <w:bookmarkStart w:id="62" w:name="_Toc401575377"/>
      <w:r w:rsidRPr="00381D1B">
        <w:rPr>
          <w:b/>
        </w:rPr>
        <w:t>3.6 Other Equality Areas</w:t>
      </w:r>
      <w:bookmarkEnd w:id="62"/>
    </w:p>
    <w:p w:rsidR="00C813CD" w:rsidRPr="00C813CD" w:rsidRDefault="00C813CD" w:rsidP="00C813CD">
      <w:pPr>
        <w:spacing w:line="276" w:lineRule="auto"/>
        <w:ind w:firstLine="0"/>
        <w:rPr>
          <w:sz w:val="24"/>
          <w:szCs w:val="24"/>
        </w:rPr>
      </w:pPr>
      <w:r w:rsidRPr="00C813CD">
        <w:rPr>
          <w:sz w:val="24"/>
          <w:szCs w:val="24"/>
        </w:rPr>
        <w:t>The protected characteristics defined under Section 4 of the Equality Act 2010 are:</w:t>
      </w:r>
    </w:p>
    <w:p w:rsidR="00C813CD" w:rsidRPr="00C813CD" w:rsidRDefault="00C813CD" w:rsidP="00DF4D13">
      <w:pPr>
        <w:ind w:firstLine="0"/>
        <w:rPr>
          <w:sz w:val="24"/>
          <w:szCs w:val="24"/>
        </w:rPr>
      </w:pPr>
      <w:r w:rsidRPr="00C813CD">
        <w:rPr>
          <w:sz w:val="24"/>
          <w:szCs w:val="24"/>
        </w:rPr>
        <w:t>•</w:t>
      </w:r>
      <w:r w:rsidRPr="00C813CD">
        <w:rPr>
          <w:sz w:val="24"/>
          <w:szCs w:val="24"/>
        </w:rPr>
        <w:tab/>
        <w:t>Age</w:t>
      </w:r>
    </w:p>
    <w:p w:rsidR="00C813CD" w:rsidRPr="00C813CD" w:rsidRDefault="00C813CD" w:rsidP="00DF4D13">
      <w:pPr>
        <w:ind w:firstLine="0"/>
        <w:rPr>
          <w:sz w:val="24"/>
          <w:szCs w:val="24"/>
        </w:rPr>
      </w:pPr>
      <w:r w:rsidRPr="00C813CD">
        <w:rPr>
          <w:sz w:val="24"/>
          <w:szCs w:val="24"/>
        </w:rPr>
        <w:t>•</w:t>
      </w:r>
      <w:r w:rsidRPr="00C813CD">
        <w:rPr>
          <w:sz w:val="24"/>
          <w:szCs w:val="24"/>
        </w:rPr>
        <w:tab/>
        <w:t>Disability</w:t>
      </w:r>
    </w:p>
    <w:p w:rsidR="00C813CD" w:rsidRPr="00C813CD" w:rsidRDefault="00C813CD" w:rsidP="00DF4D13">
      <w:pPr>
        <w:ind w:firstLine="0"/>
        <w:rPr>
          <w:sz w:val="24"/>
          <w:szCs w:val="24"/>
        </w:rPr>
      </w:pPr>
      <w:r w:rsidRPr="00C813CD">
        <w:rPr>
          <w:sz w:val="24"/>
          <w:szCs w:val="24"/>
        </w:rPr>
        <w:t>•</w:t>
      </w:r>
      <w:r w:rsidRPr="00C813CD">
        <w:rPr>
          <w:sz w:val="24"/>
          <w:szCs w:val="24"/>
        </w:rPr>
        <w:tab/>
        <w:t xml:space="preserve">Gender Reassignment </w:t>
      </w:r>
    </w:p>
    <w:p w:rsidR="00C813CD" w:rsidRPr="00C813CD" w:rsidRDefault="00C813CD" w:rsidP="00DF4D13">
      <w:pPr>
        <w:ind w:firstLine="0"/>
        <w:rPr>
          <w:sz w:val="24"/>
          <w:szCs w:val="24"/>
        </w:rPr>
      </w:pPr>
      <w:r w:rsidRPr="00C813CD">
        <w:rPr>
          <w:sz w:val="24"/>
          <w:szCs w:val="24"/>
        </w:rPr>
        <w:t>•</w:t>
      </w:r>
      <w:r w:rsidRPr="00C813CD">
        <w:rPr>
          <w:sz w:val="24"/>
          <w:szCs w:val="24"/>
        </w:rPr>
        <w:tab/>
        <w:t xml:space="preserve">Marriage and Civil Partnership </w:t>
      </w:r>
    </w:p>
    <w:p w:rsidR="00C813CD" w:rsidRPr="00C813CD" w:rsidRDefault="00C813CD" w:rsidP="00DF4D13">
      <w:pPr>
        <w:ind w:firstLine="0"/>
        <w:rPr>
          <w:sz w:val="24"/>
          <w:szCs w:val="24"/>
        </w:rPr>
      </w:pPr>
      <w:r w:rsidRPr="00C813CD">
        <w:rPr>
          <w:sz w:val="24"/>
          <w:szCs w:val="24"/>
        </w:rPr>
        <w:t>•</w:t>
      </w:r>
      <w:r w:rsidRPr="00C813CD">
        <w:rPr>
          <w:sz w:val="24"/>
          <w:szCs w:val="24"/>
        </w:rPr>
        <w:tab/>
        <w:t xml:space="preserve">Pregnancy and Maternity </w:t>
      </w:r>
    </w:p>
    <w:p w:rsidR="00C813CD" w:rsidRPr="00C813CD" w:rsidRDefault="00C813CD" w:rsidP="00DF4D13">
      <w:pPr>
        <w:ind w:firstLine="0"/>
        <w:rPr>
          <w:sz w:val="24"/>
          <w:szCs w:val="24"/>
        </w:rPr>
      </w:pPr>
      <w:r w:rsidRPr="00C813CD">
        <w:rPr>
          <w:sz w:val="24"/>
          <w:szCs w:val="24"/>
        </w:rPr>
        <w:t>•</w:t>
      </w:r>
      <w:r w:rsidRPr="00C813CD">
        <w:rPr>
          <w:sz w:val="24"/>
          <w:szCs w:val="24"/>
        </w:rPr>
        <w:tab/>
        <w:t xml:space="preserve">Race </w:t>
      </w:r>
    </w:p>
    <w:p w:rsidR="00C813CD" w:rsidRPr="00C813CD" w:rsidRDefault="00C813CD" w:rsidP="00DF4D13">
      <w:pPr>
        <w:ind w:firstLine="0"/>
        <w:rPr>
          <w:sz w:val="24"/>
          <w:szCs w:val="24"/>
        </w:rPr>
      </w:pPr>
      <w:r w:rsidRPr="00C813CD">
        <w:rPr>
          <w:sz w:val="24"/>
          <w:szCs w:val="24"/>
        </w:rPr>
        <w:t>•</w:t>
      </w:r>
      <w:r w:rsidRPr="00C813CD">
        <w:rPr>
          <w:sz w:val="24"/>
          <w:szCs w:val="24"/>
        </w:rPr>
        <w:tab/>
        <w:t xml:space="preserve">Religion or Belief (including lack of belief) </w:t>
      </w:r>
    </w:p>
    <w:p w:rsidR="00C813CD" w:rsidRPr="00C813CD" w:rsidRDefault="00C813CD" w:rsidP="00DF4D13">
      <w:pPr>
        <w:ind w:firstLine="0"/>
        <w:rPr>
          <w:sz w:val="24"/>
          <w:szCs w:val="24"/>
        </w:rPr>
      </w:pPr>
      <w:r w:rsidRPr="00C813CD">
        <w:rPr>
          <w:sz w:val="24"/>
          <w:szCs w:val="24"/>
        </w:rPr>
        <w:t>•</w:t>
      </w:r>
      <w:r w:rsidRPr="00C813CD">
        <w:rPr>
          <w:sz w:val="24"/>
          <w:szCs w:val="24"/>
        </w:rPr>
        <w:tab/>
        <w:t xml:space="preserve">Sex </w:t>
      </w:r>
    </w:p>
    <w:p w:rsidR="00C813CD" w:rsidRDefault="00C813CD" w:rsidP="00DF4D13">
      <w:pPr>
        <w:ind w:firstLine="0"/>
        <w:rPr>
          <w:sz w:val="24"/>
          <w:szCs w:val="24"/>
        </w:rPr>
      </w:pPr>
      <w:r w:rsidRPr="00C813CD">
        <w:rPr>
          <w:sz w:val="24"/>
          <w:szCs w:val="24"/>
        </w:rPr>
        <w:t>•</w:t>
      </w:r>
      <w:r w:rsidRPr="00C813CD">
        <w:rPr>
          <w:sz w:val="24"/>
          <w:szCs w:val="24"/>
        </w:rPr>
        <w:tab/>
        <w:t>Sexual Orientation</w:t>
      </w:r>
    </w:p>
    <w:p w:rsidR="00C813CD" w:rsidRDefault="00C813CD" w:rsidP="00C813CD">
      <w:pPr>
        <w:spacing w:before="240" w:after="200" w:line="276" w:lineRule="auto"/>
        <w:ind w:firstLine="0"/>
        <w:rPr>
          <w:sz w:val="24"/>
          <w:szCs w:val="24"/>
        </w:rPr>
      </w:pPr>
      <w:r w:rsidRPr="00C813CD">
        <w:rPr>
          <w:sz w:val="24"/>
          <w:szCs w:val="24"/>
        </w:rPr>
        <w:lastRenderedPageBreak/>
        <w:t xml:space="preserve">The University has </w:t>
      </w:r>
      <w:r>
        <w:rPr>
          <w:sz w:val="24"/>
          <w:szCs w:val="24"/>
        </w:rPr>
        <w:t>been providing</w:t>
      </w:r>
      <w:r w:rsidRPr="00C813CD">
        <w:rPr>
          <w:sz w:val="24"/>
          <w:szCs w:val="24"/>
        </w:rPr>
        <w:t xml:space="preserve"> an opportunity for staff to disclose information on sexual orientation and religion or belief through the ESS</w:t>
      </w:r>
      <w:r>
        <w:rPr>
          <w:sz w:val="24"/>
          <w:szCs w:val="24"/>
        </w:rPr>
        <w:t xml:space="preserve"> since 2012 in line with the request by the Higher Education Statistics Agency (HESA)</w:t>
      </w:r>
      <w:r w:rsidRPr="00C813CD">
        <w:rPr>
          <w:sz w:val="24"/>
          <w:szCs w:val="24"/>
        </w:rPr>
        <w:t xml:space="preserve">. </w:t>
      </w:r>
    </w:p>
    <w:p w:rsidR="00DF4D13" w:rsidRDefault="00DF4D13" w:rsidP="00C813CD">
      <w:pPr>
        <w:spacing w:before="240" w:after="200" w:line="276" w:lineRule="auto"/>
        <w:ind w:firstLine="0"/>
        <w:rPr>
          <w:sz w:val="24"/>
          <w:szCs w:val="24"/>
        </w:rPr>
      </w:pPr>
    </w:p>
    <w:p w:rsidR="00C813CD" w:rsidRPr="00381D1B" w:rsidRDefault="00C813CD" w:rsidP="00C813CD">
      <w:pPr>
        <w:pStyle w:val="Heading3"/>
        <w:rPr>
          <w:color w:val="365F91" w:themeColor="accent1" w:themeShade="BF"/>
        </w:rPr>
      </w:pPr>
      <w:bookmarkStart w:id="63" w:name="_Toc401575378"/>
      <w:r w:rsidRPr="00381D1B">
        <w:rPr>
          <w:color w:val="365F91" w:themeColor="accent1" w:themeShade="BF"/>
        </w:rPr>
        <w:t>3.6.1 Sexual Orientation and Gender reassignment</w:t>
      </w:r>
      <w:bookmarkEnd w:id="63"/>
    </w:p>
    <w:p w:rsidR="00C813CD" w:rsidRDefault="00DF4D13" w:rsidP="00F86F08">
      <w:pPr>
        <w:spacing w:after="200" w:line="276" w:lineRule="auto"/>
        <w:ind w:firstLine="0"/>
        <w:rPr>
          <w:sz w:val="24"/>
          <w:szCs w:val="24"/>
        </w:rPr>
      </w:pPr>
      <w:r>
        <w:rPr>
          <w:sz w:val="24"/>
          <w:szCs w:val="24"/>
        </w:rPr>
        <w:t>The University has a vibrant LGBT staff network</w:t>
      </w:r>
      <w:r w:rsidR="00234262">
        <w:rPr>
          <w:rStyle w:val="FootnoteReference"/>
          <w:sz w:val="24"/>
          <w:szCs w:val="24"/>
        </w:rPr>
        <w:footnoteReference w:id="22"/>
      </w:r>
      <w:r>
        <w:rPr>
          <w:sz w:val="24"/>
          <w:szCs w:val="24"/>
        </w:rPr>
        <w:t xml:space="preserve"> </w:t>
      </w:r>
      <w:r w:rsidR="00234262">
        <w:rPr>
          <w:sz w:val="24"/>
          <w:szCs w:val="24"/>
        </w:rPr>
        <w:t>which</w:t>
      </w:r>
      <w:r>
        <w:rPr>
          <w:sz w:val="24"/>
          <w:szCs w:val="24"/>
        </w:rPr>
        <w:t xml:space="preserve"> engage</w:t>
      </w:r>
      <w:r w:rsidR="00234262">
        <w:rPr>
          <w:sz w:val="24"/>
          <w:szCs w:val="24"/>
        </w:rPr>
        <w:t>s</w:t>
      </w:r>
      <w:r>
        <w:rPr>
          <w:sz w:val="24"/>
          <w:szCs w:val="24"/>
        </w:rPr>
        <w:t xml:space="preserve"> in social </w:t>
      </w:r>
      <w:r w:rsidR="00234262">
        <w:rPr>
          <w:sz w:val="24"/>
          <w:szCs w:val="24"/>
        </w:rPr>
        <w:t>activities</w:t>
      </w:r>
      <w:r>
        <w:rPr>
          <w:sz w:val="24"/>
          <w:szCs w:val="24"/>
        </w:rPr>
        <w:t>, events and talks as well as contributing to the Equality and Diversity Consultative Forum.</w:t>
      </w:r>
      <w:r w:rsidR="00234262">
        <w:rPr>
          <w:sz w:val="24"/>
          <w:szCs w:val="24"/>
        </w:rPr>
        <w:t xml:space="preserve">  LGBT </w:t>
      </w:r>
      <w:proofErr w:type="gramStart"/>
      <w:r w:rsidR="00234262">
        <w:rPr>
          <w:sz w:val="24"/>
          <w:szCs w:val="24"/>
        </w:rPr>
        <w:t>staff are</w:t>
      </w:r>
      <w:proofErr w:type="gramEnd"/>
      <w:r w:rsidR="00234262">
        <w:rPr>
          <w:sz w:val="24"/>
          <w:szCs w:val="24"/>
        </w:rPr>
        <w:t xml:space="preserve"> supported by the network as well as Equality Champion </w:t>
      </w:r>
      <w:r w:rsidR="003B00CE">
        <w:rPr>
          <w:sz w:val="24"/>
          <w:szCs w:val="24"/>
        </w:rPr>
        <w:t xml:space="preserve">Dr </w:t>
      </w:r>
      <w:r w:rsidR="00234262">
        <w:rPr>
          <w:sz w:val="24"/>
          <w:szCs w:val="24"/>
        </w:rPr>
        <w:t xml:space="preserve">Nick Bampos.  </w:t>
      </w:r>
    </w:p>
    <w:p w:rsidR="00234262" w:rsidRDefault="00234262" w:rsidP="00F86F08">
      <w:pPr>
        <w:spacing w:after="200" w:line="276" w:lineRule="auto"/>
        <w:ind w:firstLine="0"/>
        <w:rPr>
          <w:sz w:val="24"/>
          <w:szCs w:val="24"/>
        </w:rPr>
      </w:pPr>
      <w:r>
        <w:rPr>
          <w:sz w:val="24"/>
          <w:szCs w:val="24"/>
        </w:rPr>
        <w:t>The University holds sexual orientation data for 8% (887) of the employee population.  Of this 8%, 9% (89) identify as lesbian, gay, bisexual or other.</w:t>
      </w:r>
      <w:r w:rsidR="00381D1B">
        <w:rPr>
          <w:sz w:val="24"/>
          <w:szCs w:val="24"/>
        </w:rPr>
        <w:t xml:space="preserve">  With online recruitment, as well as sign-posting for existing staff, it is anticipated that disclosure rates will increase to a level where more detailed analysis can be undertaken.  </w:t>
      </w:r>
    </w:p>
    <w:p w:rsidR="00440A80" w:rsidRDefault="00440A80" w:rsidP="00F86F08">
      <w:pPr>
        <w:spacing w:after="200" w:line="276" w:lineRule="auto"/>
        <w:ind w:firstLine="0"/>
        <w:rPr>
          <w:sz w:val="24"/>
          <w:szCs w:val="24"/>
        </w:rPr>
      </w:pPr>
    </w:p>
    <w:p w:rsidR="00440A80" w:rsidRPr="00381D1B" w:rsidRDefault="00440A80" w:rsidP="00440A80">
      <w:pPr>
        <w:pStyle w:val="Heading3"/>
        <w:rPr>
          <w:color w:val="365F91" w:themeColor="accent1" w:themeShade="BF"/>
        </w:rPr>
      </w:pPr>
      <w:bookmarkStart w:id="64" w:name="_Toc401575379"/>
      <w:r w:rsidRPr="00381D1B">
        <w:rPr>
          <w:color w:val="365F91" w:themeColor="accent1" w:themeShade="BF"/>
        </w:rPr>
        <w:t>3.6.2 Religion or Belief</w:t>
      </w:r>
      <w:bookmarkEnd w:id="64"/>
    </w:p>
    <w:p w:rsidR="00440A80" w:rsidRDefault="00440A80" w:rsidP="00F86F08">
      <w:pPr>
        <w:spacing w:after="200" w:line="276" w:lineRule="auto"/>
        <w:ind w:firstLine="0"/>
        <w:rPr>
          <w:sz w:val="24"/>
          <w:szCs w:val="24"/>
        </w:rPr>
      </w:pPr>
      <w:r>
        <w:rPr>
          <w:sz w:val="24"/>
          <w:szCs w:val="24"/>
        </w:rPr>
        <w:t xml:space="preserve">Faith and Belief in Practice is a project provided through the Chaplaincy Development Group (CDG).  The CDG is a partnership between the University, Trinity College and </w:t>
      </w:r>
      <w:r w:rsidR="00750015">
        <w:rPr>
          <w:sz w:val="24"/>
          <w:szCs w:val="24"/>
        </w:rPr>
        <w:t>G</w:t>
      </w:r>
      <w:r>
        <w:rPr>
          <w:sz w:val="24"/>
          <w:szCs w:val="24"/>
        </w:rPr>
        <w:t>reat St Mary’s Church and supports the work of the Chaplain to University Staff.  The CDG reports to the E&amp;D committee.</w:t>
      </w:r>
    </w:p>
    <w:p w:rsidR="00440A80" w:rsidRDefault="00440A80" w:rsidP="00F86F08">
      <w:pPr>
        <w:spacing w:after="200" w:line="276" w:lineRule="auto"/>
        <w:ind w:firstLine="0"/>
        <w:rPr>
          <w:sz w:val="24"/>
          <w:szCs w:val="24"/>
        </w:rPr>
      </w:pPr>
      <w:r>
        <w:rPr>
          <w:sz w:val="24"/>
          <w:szCs w:val="24"/>
        </w:rPr>
        <w:t>Data for Religion or Belief is held for 8% of University staff.  53.6% (459) have selected ‘no religion’ with the next highest group at 37.5% (321) selecting ‘Christian’ with the remaining 7 selections adding up to 8.9%.</w:t>
      </w:r>
      <w:r w:rsidR="00381D1B">
        <w:rPr>
          <w:sz w:val="24"/>
          <w:szCs w:val="24"/>
        </w:rPr>
        <w:t xml:space="preserve">  As with sexual orientation, it is anticipated that disclosure rates will increase such that detailed analysis can be undertaken.  </w:t>
      </w:r>
    </w:p>
    <w:p w:rsidR="000D601B" w:rsidRDefault="000D601B" w:rsidP="00F86F08">
      <w:pPr>
        <w:spacing w:after="200" w:line="276" w:lineRule="auto"/>
        <w:ind w:firstLine="0"/>
        <w:rPr>
          <w:sz w:val="24"/>
          <w:szCs w:val="24"/>
        </w:rPr>
      </w:pPr>
    </w:p>
    <w:p w:rsidR="000D601B" w:rsidRDefault="000D601B">
      <w:pPr>
        <w:rPr>
          <w:sz w:val="24"/>
          <w:szCs w:val="24"/>
        </w:rPr>
      </w:pPr>
      <w:r>
        <w:rPr>
          <w:sz w:val="24"/>
          <w:szCs w:val="24"/>
        </w:rPr>
        <w:br w:type="page"/>
      </w:r>
    </w:p>
    <w:p w:rsidR="000D601B" w:rsidRDefault="000D601B" w:rsidP="00F86F08">
      <w:pPr>
        <w:spacing w:after="200" w:line="276" w:lineRule="auto"/>
        <w:ind w:firstLine="0"/>
        <w:rPr>
          <w:sz w:val="24"/>
          <w:szCs w:val="24"/>
        </w:rPr>
      </w:pPr>
    </w:p>
    <w:p w:rsidR="00CF52A1" w:rsidRPr="008E08B6" w:rsidRDefault="00CF52A1" w:rsidP="00CF52A1">
      <w:pPr>
        <w:pStyle w:val="Heading1"/>
        <w:rPr>
          <w:sz w:val="28"/>
          <w:szCs w:val="28"/>
        </w:rPr>
      </w:pPr>
      <w:r w:rsidRPr="008E08B6">
        <w:rPr>
          <w:sz w:val="28"/>
          <w:szCs w:val="28"/>
        </w:rPr>
        <w:t>4.0 Students</w:t>
      </w:r>
    </w:p>
    <w:p w:rsidR="00CF52A1" w:rsidRDefault="00CF52A1" w:rsidP="00CF52A1">
      <w:pPr>
        <w:rPr>
          <w:rFonts w:cs="Arial"/>
          <w:sz w:val="24"/>
          <w:szCs w:val="24"/>
        </w:rPr>
      </w:pPr>
    </w:p>
    <w:p w:rsidR="00CF52A1" w:rsidRPr="00B6079C" w:rsidRDefault="00CF52A1" w:rsidP="00CF52A1">
      <w:pPr>
        <w:ind w:firstLine="0"/>
        <w:rPr>
          <w:rFonts w:cs="Arial"/>
          <w:sz w:val="24"/>
          <w:szCs w:val="24"/>
        </w:rPr>
      </w:pPr>
      <w:r w:rsidRPr="00B6079C">
        <w:rPr>
          <w:rFonts w:cs="Arial"/>
          <w:sz w:val="24"/>
          <w:szCs w:val="24"/>
        </w:rPr>
        <w:t>Equality and Diversity issues relating to teaching and learning fall within the remit of the General Board’s Education Committee’s Standing Committee on Equality and Diversity (GBEC’s E&amp;D Standing Committee).</w:t>
      </w:r>
    </w:p>
    <w:p w:rsidR="00CF52A1" w:rsidRDefault="00CF52A1" w:rsidP="00CF52A1">
      <w:pPr>
        <w:rPr>
          <w:rFonts w:cs="Arial"/>
          <w:sz w:val="24"/>
          <w:szCs w:val="24"/>
        </w:rPr>
      </w:pPr>
    </w:p>
    <w:p w:rsidR="00CF52A1" w:rsidRPr="00B6079C" w:rsidRDefault="00CF52A1" w:rsidP="00CF52A1">
      <w:pPr>
        <w:ind w:firstLine="0"/>
        <w:rPr>
          <w:rFonts w:cs="Arial"/>
          <w:sz w:val="24"/>
          <w:szCs w:val="24"/>
        </w:rPr>
      </w:pPr>
      <w:r w:rsidRPr="00B6079C">
        <w:rPr>
          <w:rFonts w:cs="Arial"/>
          <w:sz w:val="24"/>
          <w:szCs w:val="24"/>
        </w:rPr>
        <w:t>The University’s Equality and Diversity Section and GBEC’s E&amp;D Standing Committee work together to support the University in progressing equality across the institution and to provide a formal channel for involving students. There is a student representative from the Cambridge University Students' Union (CUSU) on GBEC’s E&amp;D Standing Committee and student representation for both Undergraduate and Graduate students on the E&amp;D Committee. In addition, the E&amp;D Section hosts a Student Links network consisting of student representatives from different minority or disadvantaged groups.</w:t>
      </w:r>
    </w:p>
    <w:p w:rsidR="00CF52A1" w:rsidRDefault="00CF52A1" w:rsidP="00CF52A1">
      <w:pPr>
        <w:rPr>
          <w:rFonts w:cs="Arial"/>
          <w:sz w:val="24"/>
          <w:szCs w:val="24"/>
        </w:rPr>
      </w:pPr>
    </w:p>
    <w:p w:rsidR="00CF52A1" w:rsidRPr="00B6079C" w:rsidRDefault="00CF52A1" w:rsidP="00CF52A1">
      <w:pPr>
        <w:ind w:firstLine="0"/>
        <w:rPr>
          <w:rFonts w:cs="Arial"/>
          <w:sz w:val="24"/>
          <w:szCs w:val="24"/>
        </w:rPr>
      </w:pPr>
      <w:r w:rsidRPr="00B6079C">
        <w:rPr>
          <w:rFonts w:cs="Arial"/>
          <w:sz w:val="24"/>
          <w:szCs w:val="24"/>
        </w:rPr>
        <w:t>Additionally, the University Disability Resource Centre (DRC) provides a confidential, professional, and accessible service for disabled students and those staff supporting them.  The DRC supports individuals with any impairment/disability, medical matter, or injury who are current or prospective students. In 2013-2014 data analysis disaggregated by gender, disability and ethnicity were included in the summary report of National Student Survey (NSS) results 2014, considered internally by the General Board’s Education Committee and its Standing Committee on Equality and Diversity. Disaggregated data was also reported against gender, age, and ethnicity for the Postgraduate Taught Experience Survey in 2014. When compared with the sector satisfaction results for each category, no significant concerns were identified. Notably, Cambridge students recorded as having declared a disability reported to be more satisfied than those with no known disabilities in a number of learning and teaching categories in the NSS. This was in contrast to sector results.</w:t>
      </w:r>
    </w:p>
    <w:p w:rsidR="00CF52A1" w:rsidRDefault="00CF52A1" w:rsidP="00CF52A1">
      <w:pPr>
        <w:rPr>
          <w:rFonts w:cs="Arial"/>
          <w:sz w:val="24"/>
          <w:szCs w:val="24"/>
        </w:rPr>
      </w:pPr>
    </w:p>
    <w:p w:rsidR="00CF52A1" w:rsidRPr="00B6079C" w:rsidRDefault="00CF52A1" w:rsidP="00CF52A1">
      <w:pPr>
        <w:ind w:firstLine="0"/>
        <w:rPr>
          <w:rFonts w:cs="Arial"/>
          <w:sz w:val="24"/>
          <w:szCs w:val="24"/>
        </w:rPr>
      </w:pPr>
      <w:r w:rsidRPr="00B6079C">
        <w:rPr>
          <w:rFonts w:cs="Arial"/>
          <w:sz w:val="24"/>
          <w:szCs w:val="24"/>
        </w:rPr>
        <w:t xml:space="preserve">The following information is a summary of student figures sourced from the University’s Student Statistics Office. Comparative data is sourced from HESA via the Higher Education Information Database for Institutions. In addition to the University wide data detailed below, the General Board’s </w:t>
      </w:r>
      <w:proofErr w:type="gramStart"/>
      <w:r w:rsidRPr="00B6079C">
        <w:rPr>
          <w:rFonts w:cs="Arial"/>
          <w:sz w:val="24"/>
          <w:szCs w:val="24"/>
        </w:rPr>
        <w:t>Learning</w:t>
      </w:r>
      <w:proofErr w:type="gramEnd"/>
      <w:r w:rsidRPr="00B6079C">
        <w:rPr>
          <w:rFonts w:cs="Arial"/>
          <w:sz w:val="24"/>
          <w:szCs w:val="24"/>
        </w:rPr>
        <w:t xml:space="preserve"> and Teaching Reviews</w:t>
      </w:r>
      <w:r w:rsidRPr="00B6079C">
        <w:rPr>
          <w:rStyle w:val="FootnoteReference"/>
          <w:rFonts w:cs="Arial"/>
          <w:sz w:val="24"/>
          <w:szCs w:val="24"/>
        </w:rPr>
        <w:footnoteReference w:id="23"/>
      </w:r>
      <w:r w:rsidRPr="00B6079C">
        <w:rPr>
          <w:rFonts w:cs="Arial"/>
          <w:sz w:val="24"/>
          <w:szCs w:val="24"/>
        </w:rPr>
        <w:t xml:space="preserve"> provide a further opportunity for student data to be interrogated at the Faculty and Departmental level as they relate to the protected characteristics. </w:t>
      </w:r>
    </w:p>
    <w:p w:rsidR="00CF52A1" w:rsidRPr="00B6079C" w:rsidRDefault="00CF52A1" w:rsidP="00CF52A1">
      <w:pPr>
        <w:pStyle w:val="Heading2"/>
      </w:pPr>
      <w:r w:rsidRPr="00B6079C">
        <w:t>4.1 Gender</w:t>
      </w:r>
    </w:p>
    <w:p w:rsidR="00CF52A1" w:rsidRPr="008E08B6" w:rsidRDefault="00CF52A1" w:rsidP="00CF52A1">
      <w:pPr>
        <w:pStyle w:val="Heading3"/>
        <w:rPr>
          <w:color w:val="365F91" w:themeColor="accent1" w:themeShade="BF"/>
        </w:rPr>
      </w:pPr>
      <w:r w:rsidRPr="008E08B6">
        <w:rPr>
          <w:color w:val="365F91" w:themeColor="accent1" w:themeShade="BF"/>
        </w:rPr>
        <w:t>4.1.1 Student numbers</w:t>
      </w:r>
    </w:p>
    <w:p w:rsidR="00CF52A1" w:rsidRPr="00B6079C" w:rsidRDefault="00CF52A1" w:rsidP="00CF52A1">
      <w:pPr>
        <w:rPr>
          <w:rFonts w:cs="Arial"/>
          <w:sz w:val="24"/>
          <w:szCs w:val="24"/>
          <w:u w:val="single"/>
        </w:rPr>
      </w:pPr>
      <w:r w:rsidRPr="00B6079C">
        <w:rPr>
          <w:noProof/>
          <w:sz w:val="24"/>
          <w:szCs w:val="24"/>
        </w:rPr>
        <w:lastRenderedPageBreak/>
        <w:drawing>
          <wp:inline distT="0" distB="0" distL="0" distR="0" wp14:anchorId="356FF603" wp14:editId="233DB08D">
            <wp:extent cx="4219575" cy="2495550"/>
            <wp:effectExtent l="0" t="0" r="9525"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F52A1" w:rsidRPr="008E08B6" w:rsidRDefault="00CF52A1" w:rsidP="00CF52A1">
      <w:pPr>
        <w:rPr>
          <w:rFonts w:cs="Arial"/>
          <w:sz w:val="20"/>
          <w:szCs w:val="20"/>
        </w:rPr>
      </w:pPr>
      <w:r w:rsidRPr="008E08B6">
        <w:rPr>
          <w:rFonts w:cs="Arial"/>
          <w:sz w:val="20"/>
          <w:szCs w:val="20"/>
        </w:rPr>
        <w:t>Figure 19: Student numbers by gender (1 December 2013)</w:t>
      </w:r>
    </w:p>
    <w:p w:rsidR="00CF52A1" w:rsidRDefault="00CF52A1" w:rsidP="00CF52A1">
      <w:pPr>
        <w:rPr>
          <w:rFonts w:cs="Arial"/>
          <w:sz w:val="24"/>
          <w:szCs w:val="24"/>
        </w:rPr>
      </w:pPr>
    </w:p>
    <w:p w:rsidR="00CF52A1" w:rsidRDefault="00CF52A1" w:rsidP="00CF52A1">
      <w:pPr>
        <w:ind w:firstLine="0"/>
        <w:rPr>
          <w:rFonts w:cs="Arial"/>
          <w:sz w:val="24"/>
          <w:szCs w:val="24"/>
        </w:rPr>
      </w:pPr>
      <w:r w:rsidRPr="00B6079C">
        <w:rPr>
          <w:rFonts w:cs="Arial"/>
          <w:sz w:val="24"/>
          <w:szCs w:val="24"/>
        </w:rPr>
        <w:t xml:space="preserve">In 2013-14, female students comprised 46.0% of all undergraduate students and 44.6% of all postgraduate students (Figure 19). The ratio of female postgraduates to female undergraduates is comparable to the ratio of male postgraduates to male undergraduates (62% and 65% respectively).  </w:t>
      </w:r>
    </w:p>
    <w:p w:rsidR="00CF52A1" w:rsidRPr="00B6079C" w:rsidRDefault="00CF52A1" w:rsidP="00CF52A1">
      <w:pPr>
        <w:ind w:firstLine="0"/>
        <w:rPr>
          <w:rFonts w:cs="Arial"/>
          <w:sz w:val="24"/>
          <w:szCs w:val="24"/>
        </w:rPr>
      </w:pPr>
      <w:r w:rsidRPr="00B6079C">
        <w:rPr>
          <w:rFonts w:cs="Arial"/>
          <w:sz w:val="24"/>
          <w:szCs w:val="24"/>
        </w:rPr>
        <w:t xml:space="preserve"> </w:t>
      </w:r>
    </w:p>
    <w:p w:rsidR="00CF52A1" w:rsidRPr="00B6079C" w:rsidRDefault="00CF52A1" w:rsidP="00CF52A1">
      <w:pPr>
        <w:rPr>
          <w:rFonts w:cs="Arial"/>
          <w:sz w:val="24"/>
          <w:szCs w:val="24"/>
        </w:rPr>
      </w:pPr>
      <w:r w:rsidRPr="00B6079C">
        <w:rPr>
          <w:noProof/>
          <w:sz w:val="24"/>
          <w:szCs w:val="24"/>
        </w:rPr>
        <w:drawing>
          <wp:inline distT="0" distB="0" distL="0" distR="0" wp14:anchorId="10AAD470" wp14:editId="04A47D8B">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F52A1" w:rsidRPr="008E08B6" w:rsidRDefault="00CF52A1" w:rsidP="00CF52A1">
      <w:pPr>
        <w:rPr>
          <w:rFonts w:cs="Arial"/>
          <w:sz w:val="20"/>
          <w:szCs w:val="20"/>
        </w:rPr>
      </w:pPr>
      <w:r w:rsidRPr="008E08B6">
        <w:rPr>
          <w:rFonts w:cs="Arial"/>
          <w:sz w:val="20"/>
          <w:szCs w:val="20"/>
        </w:rPr>
        <w:t>Figure 20: Undergraduate student numbers by subject gender (2013-14)</w:t>
      </w:r>
    </w:p>
    <w:p w:rsidR="00CF52A1" w:rsidRDefault="00CF52A1" w:rsidP="00CF52A1">
      <w:pPr>
        <w:rPr>
          <w:rFonts w:cs="Arial"/>
          <w:sz w:val="24"/>
          <w:szCs w:val="24"/>
        </w:rPr>
      </w:pPr>
    </w:p>
    <w:p w:rsidR="00CF52A1" w:rsidRPr="00B6079C" w:rsidRDefault="00CF52A1" w:rsidP="00CF52A1">
      <w:pPr>
        <w:ind w:firstLine="0"/>
        <w:rPr>
          <w:rFonts w:cs="Arial"/>
          <w:sz w:val="24"/>
          <w:szCs w:val="24"/>
        </w:rPr>
      </w:pPr>
      <w:r w:rsidRPr="00B6079C">
        <w:rPr>
          <w:rFonts w:cs="Arial"/>
          <w:sz w:val="24"/>
          <w:szCs w:val="24"/>
        </w:rPr>
        <w:t xml:space="preserve">The percentage of female undergraduate students studying subjects in STEMM is 35.6% compared with 58.0% studying Arts and Humanities subjects (Figure 20). Cambridge continues to be committed to programmes such as Athena SWAN and </w:t>
      </w:r>
      <w:proofErr w:type="spellStart"/>
      <w:r w:rsidRPr="00B6079C">
        <w:rPr>
          <w:rFonts w:cs="Arial"/>
          <w:sz w:val="24"/>
          <w:szCs w:val="24"/>
        </w:rPr>
        <w:t>WiSETi</w:t>
      </w:r>
      <w:proofErr w:type="spellEnd"/>
      <w:r w:rsidRPr="00B6079C">
        <w:rPr>
          <w:rFonts w:cs="Arial"/>
          <w:sz w:val="24"/>
          <w:szCs w:val="24"/>
        </w:rPr>
        <w:t xml:space="preserve"> to seek to encourage female participation in STEMM subjects.</w:t>
      </w:r>
    </w:p>
    <w:p w:rsidR="00CF52A1" w:rsidRPr="008E08B6" w:rsidRDefault="00CF52A1" w:rsidP="00CF52A1">
      <w:pPr>
        <w:pStyle w:val="Heading3"/>
        <w:rPr>
          <w:color w:val="365F91" w:themeColor="accent1" w:themeShade="BF"/>
        </w:rPr>
      </w:pPr>
      <w:r w:rsidRPr="008E08B6">
        <w:rPr>
          <w:color w:val="365F91" w:themeColor="accent1" w:themeShade="BF"/>
        </w:rPr>
        <w:t>4.1.2 Undergraduate Admissions</w:t>
      </w:r>
    </w:p>
    <w:p w:rsidR="00CF52A1" w:rsidRPr="00B6079C" w:rsidRDefault="00CF52A1" w:rsidP="00CF52A1">
      <w:pPr>
        <w:rPr>
          <w:rFonts w:cs="Arial"/>
          <w:sz w:val="24"/>
          <w:szCs w:val="24"/>
          <w:u w:val="single"/>
        </w:rPr>
      </w:pPr>
      <w:r w:rsidRPr="00B6079C">
        <w:rPr>
          <w:noProof/>
          <w:sz w:val="24"/>
          <w:szCs w:val="24"/>
        </w:rPr>
        <w:lastRenderedPageBreak/>
        <w:drawing>
          <wp:inline distT="0" distB="0" distL="0" distR="0" wp14:anchorId="35710175" wp14:editId="4B51B5AD">
            <wp:extent cx="4572000" cy="2743200"/>
            <wp:effectExtent l="0" t="0" r="1905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F52A1" w:rsidRPr="00CF52A1" w:rsidRDefault="00CF52A1" w:rsidP="00CF52A1">
      <w:pPr>
        <w:rPr>
          <w:rFonts w:cs="Arial"/>
          <w:sz w:val="20"/>
          <w:szCs w:val="20"/>
        </w:rPr>
      </w:pPr>
      <w:r w:rsidRPr="00CF52A1">
        <w:rPr>
          <w:rFonts w:cs="Arial"/>
          <w:sz w:val="20"/>
          <w:szCs w:val="20"/>
        </w:rPr>
        <w:t>Figure 21: Undergraduate admissions by gender (October 2013)</w:t>
      </w:r>
    </w:p>
    <w:p w:rsidR="00CF52A1" w:rsidRDefault="00CF52A1" w:rsidP="00CF52A1">
      <w:pPr>
        <w:rPr>
          <w:rFonts w:cs="Arial"/>
          <w:sz w:val="24"/>
          <w:szCs w:val="24"/>
        </w:rPr>
      </w:pPr>
    </w:p>
    <w:p w:rsidR="00CF52A1" w:rsidRDefault="00CF52A1" w:rsidP="00CF52A1">
      <w:pPr>
        <w:ind w:firstLine="0"/>
        <w:rPr>
          <w:rFonts w:cs="Arial"/>
          <w:sz w:val="24"/>
          <w:szCs w:val="24"/>
        </w:rPr>
      </w:pPr>
      <w:r w:rsidRPr="00B6079C">
        <w:rPr>
          <w:rFonts w:cs="Arial"/>
          <w:sz w:val="24"/>
          <w:szCs w:val="24"/>
        </w:rPr>
        <w:t xml:space="preserve">In 2013 there were more applications to the University from prospective students who were male. There was a marginal difference in the percentage of female students who applied and the percentage of female students who were offered places. </w:t>
      </w:r>
    </w:p>
    <w:p w:rsidR="00CF52A1" w:rsidRPr="00B6079C" w:rsidRDefault="00CF52A1" w:rsidP="00CF52A1">
      <w:pPr>
        <w:ind w:firstLine="0"/>
        <w:rPr>
          <w:rFonts w:cs="Arial"/>
          <w:sz w:val="24"/>
          <w:szCs w:val="24"/>
        </w:rPr>
      </w:pPr>
    </w:p>
    <w:p w:rsidR="00CF52A1" w:rsidRPr="00B6079C" w:rsidRDefault="00CF52A1" w:rsidP="00CF52A1">
      <w:pPr>
        <w:ind w:firstLine="0"/>
        <w:rPr>
          <w:rFonts w:cs="Arial"/>
          <w:sz w:val="24"/>
          <w:szCs w:val="24"/>
        </w:rPr>
      </w:pPr>
      <w:r w:rsidRPr="00B6079C">
        <w:rPr>
          <w:rFonts w:cs="Arial"/>
          <w:sz w:val="24"/>
          <w:szCs w:val="24"/>
        </w:rPr>
        <w:t>With reference to data on UCAS applications and acceptances, the proportion of females to males applying to Russell Group Universities, on average, is the same proportion recorded against acceptances (47% and 53% respectively). This is true for the University of Cambridge, notwithstanding that there is a higher percentage of male to female applicants. As previously reported, this may reflect the differing mix of academic disciplines within the Russell Group Institutions and Cambridge’s offerings in STEMM related subjects (see 4.1.1).</w:t>
      </w:r>
    </w:p>
    <w:p w:rsidR="00CF52A1" w:rsidRDefault="00CF52A1" w:rsidP="00CF52A1">
      <w:pPr>
        <w:rPr>
          <w:rFonts w:cs="Arial"/>
          <w:sz w:val="24"/>
          <w:szCs w:val="24"/>
        </w:rPr>
      </w:pPr>
    </w:p>
    <w:p w:rsidR="00CF52A1" w:rsidRPr="00B6079C" w:rsidRDefault="00CF52A1" w:rsidP="00CF52A1">
      <w:pPr>
        <w:ind w:firstLine="0"/>
        <w:rPr>
          <w:rFonts w:cs="Arial"/>
          <w:sz w:val="24"/>
          <w:szCs w:val="24"/>
        </w:rPr>
      </w:pPr>
      <w:r w:rsidRPr="00B6079C">
        <w:rPr>
          <w:rFonts w:cs="Arial"/>
          <w:sz w:val="24"/>
          <w:szCs w:val="24"/>
        </w:rPr>
        <w:t>As a collegiate University, undergraduate admissions fall within the remit of the Colleges, however, the Undergraduate Admissions Committee (a joint University and College Committee) considered an Equality Assurance Assessment in relation to recruitment and widening participation in 2013-14. Analysis shows that once subject mix is taken into account, admission by gender to the University (47:53 female to male) broadly reflects national full time undergraduate intake. There was no evidence to suggest that prospective students face unequal access to recruitment or widening participation initiatives based on their gender.</w:t>
      </w:r>
    </w:p>
    <w:p w:rsidR="00CF52A1" w:rsidRPr="008E08B6" w:rsidRDefault="00CF52A1" w:rsidP="00CF52A1">
      <w:pPr>
        <w:pStyle w:val="Heading3"/>
        <w:rPr>
          <w:color w:val="365F91" w:themeColor="accent1" w:themeShade="BF"/>
        </w:rPr>
      </w:pPr>
      <w:r w:rsidRPr="008E08B6">
        <w:rPr>
          <w:color w:val="365F91" w:themeColor="accent1" w:themeShade="BF"/>
        </w:rPr>
        <w:t>4.1.3 Graduate Admissions</w:t>
      </w:r>
    </w:p>
    <w:p w:rsidR="00CF52A1" w:rsidRPr="00B6079C" w:rsidRDefault="00CF52A1" w:rsidP="00CF52A1">
      <w:pPr>
        <w:rPr>
          <w:rFonts w:cs="Arial"/>
          <w:sz w:val="24"/>
          <w:szCs w:val="24"/>
        </w:rPr>
      </w:pPr>
      <w:r w:rsidRPr="00B6079C">
        <w:rPr>
          <w:noProof/>
          <w:sz w:val="24"/>
          <w:szCs w:val="24"/>
        </w:rPr>
        <w:lastRenderedPageBreak/>
        <w:drawing>
          <wp:inline distT="0" distB="0" distL="0" distR="0" wp14:anchorId="18B39554" wp14:editId="3C746513">
            <wp:extent cx="4686300" cy="2976562"/>
            <wp:effectExtent l="0" t="0" r="19050" b="1460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F52A1" w:rsidRPr="00B6079C" w:rsidRDefault="00CF52A1" w:rsidP="00CF52A1">
      <w:pPr>
        <w:rPr>
          <w:rFonts w:cs="Arial"/>
          <w:sz w:val="20"/>
          <w:szCs w:val="20"/>
        </w:rPr>
      </w:pPr>
      <w:r w:rsidRPr="00B6079C">
        <w:rPr>
          <w:rFonts w:cs="Arial"/>
          <w:sz w:val="20"/>
          <w:szCs w:val="20"/>
        </w:rPr>
        <w:t>Figure 22: Graduate admissions by gender (2013-14)</w:t>
      </w:r>
    </w:p>
    <w:p w:rsidR="00CF52A1" w:rsidRDefault="00CF52A1" w:rsidP="00CF52A1">
      <w:pPr>
        <w:rPr>
          <w:rFonts w:cs="Arial"/>
          <w:sz w:val="24"/>
          <w:szCs w:val="24"/>
        </w:rPr>
      </w:pPr>
    </w:p>
    <w:p w:rsidR="00CF52A1" w:rsidRDefault="00CF52A1" w:rsidP="00CF52A1">
      <w:pPr>
        <w:ind w:firstLine="0"/>
        <w:rPr>
          <w:rFonts w:cs="Arial"/>
          <w:sz w:val="24"/>
          <w:szCs w:val="24"/>
        </w:rPr>
      </w:pPr>
      <w:r w:rsidRPr="00B6079C">
        <w:rPr>
          <w:rFonts w:cs="Arial"/>
          <w:sz w:val="24"/>
          <w:szCs w:val="24"/>
        </w:rPr>
        <w:t xml:space="preserve">In 2013-14 applications were received from 8,752 males and 7,017 females (56% and 44% respectively). Of those who accepted offers from the University, 1,985 were male and 1,579 were female (56% and 44% respectively). </w:t>
      </w:r>
    </w:p>
    <w:p w:rsidR="00CF52A1" w:rsidRPr="00B6079C" w:rsidRDefault="00CF52A1" w:rsidP="00CF52A1">
      <w:pPr>
        <w:rPr>
          <w:rFonts w:cs="Arial"/>
          <w:sz w:val="24"/>
          <w:szCs w:val="24"/>
          <w:u w:val="single"/>
        </w:rPr>
      </w:pPr>
    </w:p>
    <w:p w:rsidR="00CF52A1" w:rsidRDefault="00CF52A1" w:rsidP="00CF52A1">
      <w:pPr>
        <w:pStyle w:val="Heading3"/>
        <w:rPr>
          <w:color w:val="365F91" w:themeColor="accent1" w:themeShade="BF"/>
        </w:rPr>
      </w:pPr>
      <w:r w:rsidRPr="008E08B6">
        <w:rPr>
          <w:color w:val="365F91" w:themeColor="accent1" w:themeShade="BF"/>
        </w:rPr>
        <w:t>4.1.4 Undergraduate degree attainment by gender</w:t>
      </w:r>
    </w:p>
    <w:p w:rsidR="00CF52A1" w:rsidRPr="008E08B6" w:rsidRDefault="00CF52A1" w:rsidP="00CF52A1"/>
    <w:tbl>
      <w:tblPr>
        <w:tblStyle w:val="TableGrid"/>
        <w:tblW w:w="0" w:type="auto"/>
        <w:tblLook w:val="04A0" w:firstRow="1" w:lastRow="0" w:firstColumn="1" w:lastColumn="0" w:noHBand="0" w:noVBand="1"/>
      </w:tblPr>
      <w:tblGrid>
        <w:gridCol w:w="1384"/>
        <w:gridCol w:w="1843"/>
        <w:gridCol w:w="2268"/>
        <w:gridCol w:w="3402"/>
      </w:tblGrid>
      <w:tr w:rsidR="00CF52A1" w:rsidRPr="008E08B6" w:rsidTr="00784F84">
        <w:tc>
          <w:tcPr>
            <w:tcW w:w="1384" w:type="dxa"/>
          </w:tcPr>
          <w:p w:rsidR="00CF52A1" w:rsidRPr="008E08B6" w:rsidRDefault="00CF52A1" w:rsidP="00784F84">
            <w:pPr>
              <w:rPr>
                <w:rFonts w:cs="Arial"/>
                <w:b/>
                <w:sz w:val="24"/>
                <w:szCs w:val="24"/>
              </w:rPr>
            </w:pPr>
          </w:p>
        </w:tc>
        <w:tc>
          <w:tcPr>
            <w:tcW w:w="1843" w:type="dxa"/>
          </w:tcPr>
          <w:p w:rsidR="00CF52A1" w:rsidRPr="008E08B6" w:rsidRDefault="00CF52A1" w:rsidP="00784F84">
            <w:pPr>
              <w:ind w:firstLine="0"/>
              <w:rPr>
                <w:rFonts w:cs="Arial"/>
                <w:b/>
                <w:sz w:val="24"/>
                <w:szCs w:val="24"/>
              </w:rPr>
            </w:pPr>
            <w:r w:rsidRPr="008E08B6">
              <w:rPr>
                <w:rFonts w:cs="Arial"/>
                <w:b/>
                <w:sz w:val="24"/>
                <w:szCs w:val="24"/>
              </w:rPr>
              <w:t>Class I</w:t>
            </w:r>
          </w:p>
        </w:tc>
        <w:tc>
          <w:tcPr>
            <w:tcW w:w="2268" w:type="dxa"/>
          </w:tcPr>
          <w:p w:rsidR="00CF52A1" w:rsidRPr="008E08B6" w:rsidRDefault="00CF52A1" w:rsidP="00784F84">
            <w:pPr>
              <w:ind w:firstLine="0"/>
              <w:rPr>
                <w:rFonts w:cs="Arial"/>
                <w:b/>
                <w:sz w:val="24"/>
                <w:szCs w:val="24"/>
              </w:rPr>
            </w:pPr>
            <w:r w:rsidRPr="008E08B6">
              <w:rPr>
                <w:rFonts w:cs="Arial"/>
                <w:b/>
                <w:sz w:val="24"/>
                <w:szCs w:val="24"/>
              </w:rPr>
              <w:t>Class II Division I</w:t>
            </w:r>
          </w:p>
        </w:tc>
        <w:tc>
          <w:tcPr>
            <w:tcW w:w="3402" w:type="dxa"/>
          </w:tcPr>
          <w:p w:rsidR="00CF52A1" w:rsidRPr="008E08B6" w:rsidRDefault="00CF52A1" w:rsidP="00784F84">
            <w:pPr>
              <w:ind w:firstLine="0"/>
              <w:rPr>
                <w:rFonts w:cs="Arial"/>
                <w:b/>
                <w:sz w:val="24"/>
                <w:szCs w:val="24"/>
              </w:rPr>
            </w:pPr>
            <w:r w:rsidRPr="008E08B6">
              <w:rPr>
                <w:rFonts w:cs="Arial"/>
                <w:b/>
                <w:sz w:val="24"/>
                <w:szCs w:val="24"/>
              </w:rPr>
              <w:t>Class II Division II and lower</w:t>
            </w:r>
          </w:p>
        </w:tc>
      </w:tr>
      <w:tr w:rsidR="00CF52A1" w:rsidRPr="00B6079C" w:rsidTr="00784F84">
        <w:tc>
          <w:tcPr>
            <w:tcW w:w="1384" w:type="dxa"/>
          </w:tcPr>
          <w:p w:rsidR="00CF52A1" w:rsidRPr="00B6079C" w:rsidRDefault="00CF52A1" w:rsidP="00784F84">
            <w:pPr>
              <w:ind w:firstLine="0"/>
              <w:rPr>
                <w:rFonts w:cs="Arial"/>
                <w:sz w:val="24"/>
                <w:szCs w:val="24"/>
              </w:rPr>
            </w:pPr>
            <w:r w:rsidRPr="00B6079C">
              <w:rPr>
                <w:rFonts w:cs="Arial"/>
                <w:sz w:val="24"/>
                <w:szCs w:val="24"/>
              </w:rPr>
              <w:t xml:space="preserve">Men </w:t>
            </w:r>
          </w:p>
        </w:tc>
        <w:tc>
          <w:tcPr>
            <w:tcW w:w="1843" w:type="dxa"/>
          </w:tcPr>
          <w:p w:rsidR="00CF52A1" w:rsidRPr="00B6079C" w:rsidRDefault="00CF52A1" w:rsidP="00784F84">
            <w:pPr>
              <w:rPr>
                <w:rFonts w:cs="Arial"/>
                <w:sz w:val="24"/>
                <w:szCs w:val="24"/>
              </w:rPr>
            </w:pPr>
            <w:r w:rsidRPr="00B6079C">
              <w:rPr>
                <w:rFonts w:cs="Arial"/>
                <w:sz w:val="24"/>
                <w:szCs w:val="24"/>
              </w:rPr>
              <w:t>29.1%</w:t>
            </w:r>
          </w:p>
        </w:tc>
        <w:tc>
          <w:tcPr>
            <w:tcW w:w="2268" w:type="dxa"/>
          </w:tcPr>
          <w:p w:rsidR="00CF52A1" w:rsidRPr="00B6079C" w:rsidRDefault="00CF52A1" w:rsidP="00784F84">
            <w:pPr>
              <w:rPr>
                <w:rFonts w:cs="Arial"/>
                <w:sz w:val="24"/>
                <w:szCs w:val="24"/>
              </w:rPr>
            </w:pPr>
            <w:r w:rsidRPr="00B6079C">
              <w:rPr>
                <w:rFonts w:cs="Arial"/>
                <w:sz w:val="24"/>
                <w:szCs w:val="24"/>
              </w:rPr>
              <w:t>48.4%</w:t>
            </w:r>
          </w:p>
        </w:tc>
        <w:tc>
          <w:tcPr>
            <w:tcW w:w="3402" w:type="dxa"/>
          </w:tcPr>
          <w:p w:rsidR="00CF52A1" w:rsidRPr="00B6079C" w:rsidRDefault="00CF52A1" w:rsidP="00784F84">
            <w:pPr>
              <w:rPr>
                <w:rFonts w:cs="Arial"/>
                <w:sz w:val="24"/>
                <w:szCs w:val="24"/>
              </w:rPr>
            </w:pPr>
            <w:r w:rsidRPr="00B6079C">
              <w:rPr>
                <w:rFonts w:cs="Arial"/>
                <w:sz w:val="24"/>
                <w:szCs w:val="24"/>
              </w:rPr>
              <w:t>22.6%</w:t>
            </w:r>
          </w:p>
        </w:tc>
      </w:tr>
      <w:tr w:rsidR="00CF52A1" w:rsidRPr="00B6079C" w:rsidTr="00784F84">
        <w:tc>
          <w:tcPr>
            <w:tcW w:w="1384" w:type="dxa"/>
          </w:tcPr>
          <w:p w:rsidR="00CF52A1" w:rsidRPr="00B6079C" w:rsidRDefault="00CF52A1" w:rsidP="00784F84">
            <w:pPr>
              <w:ind w:firstLine="0"/>
              <w:rPr>
                <w:rFonts w:cs="Arial"/>
                <w:sz w:val="24"/>
                <w:szCs w:val="24"/>
              </w:rPr>
            </w:pPr>
            <w:r w:rsidRPr="00B6079C">
              <w:rPr>
                <w:rFonts w:cs="Arial"/>
                <w:sz w:val="24"/>
                <w:szCs w:val="24"/>
              </w:rPr>
              <w:t>Women</w:t>
            </w:r>
          </w:p>
        </w:tc>
        <w:tc>
          <w:tcPr>
            <w:tcW w:w="1843" w:type="dxa"/>
          </w:tcPr>
          <w:p w:rsidR="00CF52A1" w:rsidRPr="00B6079C" w:rsidRDefault="00CF52A1" w:rsidP="00784F84">
            <w:pPr>
              <w:rPr>
                <w:rFonts w:cs="Arial"/>
                <w:sz w:val="24"/>
                <w:szCs w:val="24"/>
              </w:rPr>
            </w:pPr>
            <w:r w:rsidRPr="00B6079C">
              <w:rPr>
                <w:rFonts w:cs="Arial"/>
                <w:sz w:val="24"/>
                <w:szCs w:val="24"/>
              </w:rPr>
              <w:t>19.7%</w:t>
            </w:r>
          </w:p>
        </w:tc>
        <w:tc>
          <w:tcPr>
            <w:tcW w:w="2268" w:type="dxa"/>
          </w:tcPr>
          <w:p w:rsidR="00CF52A1" w:rsidRPr="00B6079C" w:rsidRDefault="00CF52A1" w:rsidP="00784F84">
            <w:pPr>
              <w:rPr>
                <w:rFonts w:cs="Arial"/>
                <w:sz w:val="24"/>
                <w:szCs w:val="24"/>
              </w:rPr>
            </w:pPr>
            <w:r w:rsidRPr="00B6079C">
              <w:rPr>
                <w:rFonts w:cs="Arial"/>
                <w:sz w:val="24"/>
                <w:szCs w:val="24"/>
              </w:rPr>
              <w:t>59.6%</w:t>
            </w:r>
          </w:p>
        </w:tc>
        <w:tc>
          <w:tcPr>
            <w:tcW w:w="3402" w:type="dxa"/>
          </w:tcPr>
          <w:p w:rsidR="00CF52A1" w:rsidRPr="00B6079C" w:rsidRDefault="00CF52A1" w:rsidP="00784F84">
            <w:pPr>
              <w:rPr>
                <w:rFonts w:cs="Arial"/>
                <w:sz w:val="24"/>
                <w:szCs w:val="24"/>
              </w:rPr>
            </w:pPr>
            <w:r w:rsidRPr="00B6079C">
              <w:rPr>
                <w:rFonts w:cs="Arial"/>
                <w:sz w:val="24"/>
                <w:szCs w:val="24"/>
              </w:rPr>
              <w:t>20.7%</w:t>
            </w:r>
          </w:p>
        </w:tc>
      </w:tr>
    </w:tbl>
    <w:p w:rsidR="00CF52A1" w:rsidRPr="00B6079C" w:rsidRDefault="00CF52A1" w:rsidP="00CF52A1">
      <w:pPr>
        <w:rPr>
          <w:rFonts w:cs="Arial"/>
          <w:sz w:val="24"/>
          <w:szCs w:val="24"/>
          <w:u w:val="single"/>
        </w:rPr>
      </w:pPr>
    </w:p>
    <w:p w:rsidR="00CF52A1" w:rsidRDefault="00CF52A1" w:rsidP="00CF52A1">
      <w:pPr>
        <w:ind w:firstLine="0"/>
        <w:rPr>
          <w:rFonts w:cs="Arial"/>
          <w:sz w:val="24"/>
          <w:szCs w:val="24"/>
        </w:rPr>
      </w:pPr>
      <w:r w:rsidRPr="00B6079C">
        <w:rPr>
          <w:rFonts w:cs="Arial"/>
          <w:sz w:val="24"/>
          <w:szCs w:val="24"/>
        </w:rPr>
        <w:t>The percentage of women gaining first class examination results was 19.7% compared with 29.1% of males. This has been a source of attention for GBEC’s E&amp;D Standing Committee in 2013-14 given that a more granulated analysis is needed for any meaningful comparison. The Committee, in conjunction with the Senior Tutor’s Standing Committee on Education, continue to evaluate the data and seek appropriate resolution of concerns that arise.</w:t>
      </w:r>
    </w:p>
    <w:p w:rsidR="00CF52A1" w:rsidRPr="00B6079C" w:rsidRDefault="00CF52A1" w:rsidP="00CF52A1">
      <w:pPr>
        <w:rPr>
          <w:rFonts w:cs="Arial"/>
          <w:sz w:val="24"/>
          <w:szCs w:val="24"/>
        </w:rPr>
      </w:pPr>
    </w:p>
    <w:p w:rsidR="00CF52A1" w:rsidRPr="00B6079C" w:rsidRDefault="00CF52A1" w:rsidP="00CF52A1">
      <w:pPr>
        <w:ind w:firstLine="0"/>
        <w:rPr>
          <w:rFonts w:cs="Arial"/>
          <w:sz w:val="24"/>
          <w:szCs w:val="24"/>
        </w:rPr>
      </w:pPr>
      <w:r w:rsidRPr="00B6079C">
        <w:rPr>
          <w:rFonts w:cs="Arial"/>
          <w:sz w:val="24"/>
          <w:szCs w:val="24"/>
        </w:rPr>
        <w:t>The GBEC’s E&amp;D Standing Committee is developing a programme of work for the next academic year which will gather evidence on good practice adopted by Faculties/Departments and Colleges in addressing gender attainment issues.</w:t>
      </w:r>
    </w:p>
    <w:p w:rsidR="00CF52A1" w:rsidRPr="00B6079C" w:rsidRDefault="00CF52A1" w:rsidP="00CF52A1">
      <w:pPr>
        <w:pStyle w:val="Heading2"/>
      </w:pPr>
      <w:r w:rsidRPr="00B6079C">
        <w:t>4.2 Ethnicity</w:t>
      </w:r>
    </w:p>
    <w:p w:rsidR="00CF52A1" w:rsidRPr="008E08B6" w:rsidRDefault="00CF52A1" w:rsidP="00CF52A1">
      <w:pPr>
        <w:pStyle w:val="Heading3"/>
        <w:rPr>
          <w:color w:val="365F91" w:themeColor="accent1" w:themeShade="BF"/>
        </w:rPr>
      </w:pPr>
      <w:r w:rsidRPr="008E08B6">
        <w:rPr>
          <w:color w:val="365F91" w:themeColor="accent1" w:themeShade="BF"/>
        </w:rPr>
        <w:t>4.2.1 Student numbers</w:t>
      </w:r>
    </w:p>
    <w:p w:rsidR="00CF52A1" w:rsidRPr="00B6079C" w:rsidRDefault="00CF52A1" w:rsidP="00CF52A1">
      <w:pPr>
        <w:rPr>
          <w:rFonts w:cs="Arial"/>
          <w:sz w:val="24"/>
          <w:szCs w:val="24"/>
        </w:rPr>
      </w:pPr>
      <w:r w:rsidRPr="00B6079C">
        <w:rPr>
          <w:noProof/>
          <w:sz w:val="24"/>
          <w:szCs w:val="24"/>
        </w:rPr>
        <w:lastRenderedPageBreak/>
        <w:drawing>
          <wp:inline distT="0" distB="0" distL="0" distR="0" wp14:anchorId="58564E29" wp14:editId="020166F2">
            <wp:extent cx="4572000" cy="2124075"/>
            <wp:effectExtent l="0" t="0" r="19050"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F52A1" w:rsidRPr="00B6079C" w:rsidRDefault="00CF52A1" w:rsidP="00CF52A1">
      <w:pPr>
        <w:rPr>
          <w:rFonts w:cs="Arial"/>
          <w:sz w:val="20"/>
          <w:szCs w:val="20"/>
        </w:rPr>
      </w:pPr>
      <w:r w:rsidRPr="00B6079C">
        <w:rPr>
          <w:rFonts w:cs="Arial"/>
          <w:sz w:val="20"/>
          <w:szCs w:val="20"/>
        </w:rPr>
        <w:t>Figure 23: student numbers by known ethnicity (2013-14)</w:t>
      </w:r>
    </w:p>
    <w:p w:rsidR="00CF52A1" w:rsidRDefault="00CF52A1" w:rsidP="00CF52A1">
      <w:pPr>
        <w:ind w:firstLine="0"/>
        <w:rPr>
          <w:rFonts w:cs="Arial"/>
          <w:sz w:val="24"/>
          <w:szCs w:val="24"/>
        </w:rPr>
      </w:pPr>
    </w:p>
    <w:p w:rsidR="00CF52A1" w:rsidRPr="00B6079C" w:rsidRDefault="00CF52A1" w:rsidP="00CF52A1">
      <w:pPr>
        <w:ind w:firstLine="0"/>
        <w:rPr>
          <w:rFonts w:cs="Arial"/>
          <w:sz w:val="24"/>
          <w:szCs w:val="24"/>
        </w:rPr>
      </w:pPr>
      <w:r w:rsidRPr="00B6079C">
        <w:rPr>
          <w:rFonts w:cs="Arial"/>
          <w:sz w:val="24"/>
          <w:szCs w:val="24"/>
        </w:rPr>
        <w:t>Students from a BME background made up 23.2% of undergraduate students and 33% of postgraduate students in 2013-14 (Figure 23).</w:t>
      </w:r>
    </w:p>
    <w:p w:rsidR="00CF52A1" w:rsidRDefault="00CF52A1" w:rsidP="00CF52A1">
      <w:pPr>
        <w:pStyle w:val="Heading3"/>
      </w:pPr>
      <w:r w:rsidRPr="00B6079C">
        <w:t>4.2.2 Undergraduate degree attainment by ethnicity</w:t>
      </w:r>
    </w:p>
    <w:p w:rsidR="00CF52A1" w:rsidRPr="00B6079C" w:rsidRDefault="00CF52A1" w:rsidP="00CF52A1"/>
    <w:tbl>
      <w:tblPr>
        <w:tblStyle w:val="TableGrid"/>
        <w:tblW w:w="0" w:type="auto"/>
        <w:tblLook w:val="04A0" w:firstRow="1" w:lastRow="0" w:firstColumn="1" w:lastColumn="0" w:noHBand="0" w:noVBand="1"/>
      </w:tblPr>
      <w:tblGrid>
        <w:gridCol w:w="1384"/>
        <w:gridCol w:w="2126"/>
        <w:gridCol w:w="2127"/>
        <w:gridCol w:w="3260"/>
      </w:tblGrid>
      <w:tr w:rsidR="00CF52A1" w:rsidRPr="00CF52A1" w:rsidTr="00CF52A1">
        <w:tc>
          <w:tcPr>
            <w:tcW w:w="1384" w:type="dxa"/>
          </w:tcPr>
          <w:p w:rsidR="00CF52A1" w:rsidRPr="00CF52A1" w:rsidRDefault="00CF52A1" w:rsidP="00784F84">
            <w:pPr>
              <w:rPr>
                <w:rFonts w:cs="Arial"/>
                <w:b/>
                <w:sz w:val="24"/>
                <w:szCs w:val="24"/>
              </w:rPr>
            </w:pPr>
          </w:p>
        </w:tc>
        <w:tc>
          <w:tcPr>
            <w:tcW w:w="2126" w:type="dxa"/>
          </w:tcPr>
          <w:p w:rsidR="00CF52A1" w:rsidRPr="00CF52A1" w:rsidRDefault="00CF52A1" w:rsidP="00CF52A1">
            <w:pPr>
              <w:ind w:firstLine="0"/>
              <w:rPr>
                <w:rFonts w:cs="Arial"/>
                <w:b/>
                <w:sz w:val="24"/>
                <w:szCs w:val="24"/>
              </w:rPr>
            </w:pPr>
            <w:r w:rsidRPr="00CF52A1">
              <w:rPr>
                <w:rFonts w:cs="Arial"/>
                <w:b/>
                <w:sz w:val="24"/>
                <w:szCs w:val="24"/>
              </w:rPr>
              <w:t>Class I</w:t>
            </w:r>
          </w:p>
        </w:tc>
        <w:tc>
          <w:tcPr>
            <w:tcW w:w="2127" w:type="dxa"/>
          </w:tcPr>
          <w:p w:rsidR="00CF52A1" w:rsidRPr="00CF52A1" w:rsidRDefault="00CF52A1" w:rsidP="00CF52A1">
            <w:pPr>
              <w:ind w:firstLine="0"/>
              <w:rPr>
                <w:rFonts w:cs="Arial"/>
                <w:b/>
                <w:sz w:val="24"/>
                <w:szCs w:val="24"/>
              </w:rPr>
            </w:pPr>
            <w:r w:rsidRPr="00CF52A1">
              <w:rPr>
                <w:rFonts w:cs="Arial"/>
                <w:b/>
                <w:sz w:val="24"/>
                <w:szCs w:val="24"/>
              </w:rPr>
              <w:t>Class II Division I</w:t>
            </w:r>
          </w:p>
        </w:tc>
        <w:tc>
          <w:tcPr>
            <w:tcW w:w="3260" w:type="dxa"/>
          </w:tcPr>
          <w:p w:rsidR="00CF52A1" w:rsidRPr="00CF52A1" w:rsidRDefault="00CF52A1" w:rsidP="00CF52A1">
            <w:pPr>
              <w:ind w:firstLine="0"/>
              <w:rPr>
                <w:rFonts w:cs="Arial"/>
                <w:b/>
                <w:sz w:val="24"/>
                <w:szCs w:val="24"/>
              </w:rPr>
            </w:pPr>
            <w:r w:rsidRPr="00CF52A1">
              <w:rPr>
                <w:rFonts w:cs="Arial"/>
                <w:b/>
                <w:sz w:val="24"/>
                <w:szCs w:val="24"/>
              </w:rPr>
              <w:t>Class II Division II and lower</w:t>
            </w:r>
          </w:p>
        </w:tc>
      </w:tr>
      <w:tr w:rsidR="00CF52A1" w:rsidRPr="00B6079C" w:rsidTr="00CF52A1">
        <w:tc>
          <w:tcPr>
            <w:tcW w:w="1384" w:type="dxa"/>
          </w:tcPr>
          <w:p w:rsidR="00CF52A1" w:rsidRPr="00B6079C" w:rsidRDefault="00CF52A1" w:rsidP="00CF52A1">
            <w:pPr>
              <w:ind w:firstLine="0"/>
              <w:rPr>
                <w:rFonts w:cs="Arial"/>
                <w:sz w:val="24"/>
                <w:szCs w:val="24"/>
              </w:rPr>
            </w:pPr>
            <w:r w:rsidRPr="00B6079C">
              <w:rPr>
                <w:rFonts w:cs="Arial"/>
                <w:sz w:val="24"/>
                <w:szCs w:val="24"/>
              </w:rPr>
              <w:t>White</w:t>
            </w:r>
          </w:p>
        </w:tc>
        <w:tc>
          <w:tcPr>
            <w:tcW w:w="2126" w:type="dxa"/>
          </w:tcPr>
          <w:p w:rsidR="00CF52A1" w:rsidRPr="00B6079C" w:rsidRDefault="00CF52A1" w:rsidP="00784F84">
            <w:pPr>
              <w:rPr>
                <w:rFonts w:cs="Arial"/>
                <w:sz w:val="24"/>
                <w:szCs w:val="24"/>
              </w:rPr>
            </w:pPr>
            <w:r w:rsidRPr="00B6079C">
              <w:rPr>
                <w:rFonts w:cs="Arial"/>
                <w:sz w:val="24"/>
                <w:szCs w:val="24"/>
              </w:rPr>
              <w:t>21.5%</w:t>
            </w:r>
          </w:p>
        </w:tc>
        <w:tc>
          <w:tcPr>
            <w:tcW w:w="2127" w:type="dxa"/>
          </w:tcPr>
          <w:p w:rsidR="00CF52A1" w:rsidRPr="00B6079C" w:rsidRDefault="00CF52A1" w:rsidP="00784F84">
            <w:pPr>
              <w:rPr>
                <w:rFonts w:cs="Arial"/>
                <w:sz w:val="24"/>
                <w:szCs w:val="24"/>
              </w:rPr>
            </w:pPr>
            <w:r w:rsidRPr="00B6079C">
              <w:rPr>
                <w:rFonts w:cs="Arial"/>
                <w:sz w:val="24"/>
                <w:szCs w:val="24"/>
              </w:rPr>
              <w:t>47.1%</w:t>
            </w:r>
          </w:p>
        </w:tc>
        <w:tc>
          <w:tcPr>
            <w:tcW w:w="3260" w:type="dxa"/>
          </w:tcPr>
          <w:p w:rsidR="00CF52A1" w:rsidRPr="00B6079C" w:rsidRDefault="00CF52A1" w:rsidP="00784F84">
            <w:pPr>
              <w:rPr>
                <w:rFonts w:cs="Arial"/>
                <w:sz w:val="24"/>
                <w:szCs w:val="24"/>
              </w:rPr>
            </w:pPr>
            <w:r w:rsidRPr="00B6079C">
              <w:rPr>
                <w:rFonts w:cs="Arial"/>
                <w:sz w:val="24"/>
                <w:szCs w:val="24"/>
              </w:rPr>
              <w:t>31.4%</w:t>
            </w:r>
          </w:p>
        </w:tc>
      </w:tr>
      <w:tr w:rsidR="00CF52A1" w:rsidRPr="00B6079C" w:rsidTr="00CF52A1">
        <w:trPr>
          <w:trHeight w:val="70"/>
        </w:trPr>
        <w:tc>
          <w:tcPr>
            <w:tcW w:w="1384" w:type="dxa"/>
          </w:tcPr>
          <w:p w:rsidR="00CF52A1" w:rsidRPr="00B6079C" w:rsidRDefault="00CF52A1" w:rsidP="00CF52A1">
            <w:pPr>
              <w:ind w:firstLine="0"/>
              <w:rPr>
                <w:rFonts w:cs="Arial"/>
                <w:sz w:val="24"/>
                <w:szCs w:val="24"/>
              </w:rPr>
            </w:pPr>
            <w:r w:rsidRPr="00B6079C">
              <w:rPr>
                <w:rFonts w:cs="Arial"/>
                <w:sz w:val="24"/>
                <w:szCs w:val="24"/>
              </w:rPr>
              <w:t>BME</w:t>
            </w:r>
          </w:p>
        </w:tc>
        <w:tc>
          <w:tcPr>
            <w:tcW w:w="2126" w:type="dxa"/>
          </w:tcPr>
          <w:p w:rsidR="00CF52A1" w:rsidRPr="00B6079C" w:rsidRDefault="00CF52A1" w:rsidP="00784F84">
            <w:pPr>
              <w:rPr>
                <w:rFonts w:cs="Arial"/>
                <w:sz w:val="24"/>
                <w:szCs w:val="24"/>
              </w:rPr>
            </w:pPr>
            <w:r w:rsidRPr="00B6079C">
              <w:rPr>
                <w:rFonts w:cs="Arial"/>
                <w:sz w:val="24"/>
                <w:szCs w:val="24"/>
              </w:rPr>
              <w:t>21.1%</w:t>
            </w:r>
          </w:p>
        </w:tc>
        <w:tc>
          <w:tcPr>
            <w:tcW w:w="2127" w:type="dxa"/>
          </w:tcPr>
          <w:p w:rsidR="00CF52A1" w:rsidRPr="00B6079C" w:rsidRDefault="00CF52A1" w:rsidP="00784F84">
            <w:pPr>
              <w:rPr>
                <w:rFonts w:cs="Arial"/>
                <w:sz w:val="24"/>
                <w:szCs w:val="24"/>
              </w:rPr>
            </w:pPr>
            <w:r w:rsidRPr="00B6079C">
              <w:rPr>
                <w:rFonts w:cs="Arial"/>
                <w:sz w:val="24"/>
                <w:szCs w:val="24"/>
              </w:rPr>
              <w:t>43.2%</w:t>
            </w:r>
          </w:p>
        </w:tc>
        <w:tc>
          <w:tcPr>
            <w:tcW w:w="3260" w:type="dxa"/>
          </w:tcPr>
          <w:p w:rsidR="00CF52A1" w:rsidRPr="00B6079C" w:rsidRDefault="00CF52A1" w:rsidP="00784F84">
            <w:pPr>
              <w:rPr>
                <w:rFonts w:cs="Arial"/>
                <w:sz w:val="24"/>
                <w:szCs w:val="24"/>
              </w:rPr>
            </w:pPr>
            <w:r w:rsidRPr="00B6079C">
              <w:rPr>
                <w:rFonts w:cs="Arial"/>
                <w:sz w:val="24"/>
                <w:szCs w:val="24"/>
              </w:rPr>
              <w:t>35.7%</w:t>
            </w:r>
          </w:p>
        </w:tc>
      </w:tr>
    </w:tbl>
    <w:p w:rsidR="00CF52A1" w:rsidRPr="00B6079C" w:rsidRDefault="00CF52A1" w:rsidP="00CF52A1">
      <w:pPr>
        <w:rPr>
          <w:rFonts w:cs="Arial"/>
          <w:sz w:val="24"/>
          <w:szCs w:val="24"/>
        </w:rPr>
      </w:pPr>
    </w:p>
    <w:p w:rsidR="00CF52A1" w:rsidRDefault="00CF52A1" w:rsidP="00CF52A1">
      <w:pPr>
        <w:ind w:firstLine="0"/>
        <w:rPr>
          <w:rFonts w:cs="Arial"/>
          <w:sz w:val="24"/>
          <w:szCs w:val="24"/>
        </w:rPr>
      </w:pPr>
      <w:r w:rsidRPr="00B6079C">
        <w:rPr>
          <w:rFonts w:cs="Arial"/>
          <w:sz w:val="24"/>
          <w:szCs w:val="24"/>
        </w:rPr>
        <w:t>The percentage of white students gaining first class examination results was 21.5% compared with 21.1% of BME Students.</w:t>
      </w:r>
    </w:p>
    <w:p w:rsidR="00CF52A1" w:rsidRPr="00B6079C" w:rsidRDefault="00CF52A1" w:rsidP="00CF52A1">
      <w:pPr>
        <w:ind w:firstLine="0"/>
        <w:rPr>
          <w:rFonts w:cs="Arial"/>
          <w:sz w:val="24"/>
          <w:szCs w:val="24"/>
        </w:rPr>
      </w:pPr>
    </w:p>
    <w:p w:rsidR="00CF52A1" w:rsidRPr="00B6079C" w:rsidRDefault="00CF52A1" w:rsidP="00CF52A1">
      <w:pPr>
        <w:ind w:firstLine="0"/>
        <w:rPr>
          <w:rFonts w:cs="Arial"/>
          <w:sz w:val="24"/>
          <w:szCs w:val="24"/>
        </w:rPr>
      </w:pPr>
      <w:r w:rsidRPr="00B6079C">
        <w:rPr>
          <w:rFonts w:cs="Arial"/>
          <w:sz w:val="24"/>
          <w:szCs w:val="24"/>
        </w:rPr>
        <w:t>In 2013-14 CUSU continued to campaign around the specific needs of students who identify with any of the protected characteristics. The GBEC’s E&amp;D Standing Committee has invited the student representative on the Committee to report back at its first meeting of the next academic year on such activities as they relate to BME students in 2013-14.</w:t>
      </w:r>
    </w:p>
    <w:p w:rsidR="00CF52A1" w:rsidRPr="00B6079C" w:rsidRDefault="00CF52A1" w:rsidP="00CF52A1">
      <w:pPr>
        <w:pStyle w:val="Heading2"/>
      </w:pPr>
      <w:r w:rsidRPr="00B6079C">
        <w:t xml:space="preserve">4.3 Disability </w:t>
      </w:r>
    </w:p>
    <w:p w:rsidR="00CF52A1" w:rsidRPr="00B6079C" w:rsidRDefault="00CF52A1" w:rsidP="00CF52A1">
      <w:pPr>
        <w:pStyle w:val="Heading3"/>
      </w:pPr>
      <w:r w:rsidRPr="00B6079C">
        <w:t>4.3.1 Student numbers</w:t>
      </w:r>
    </w:p>
    <w:p w:rsidR="00CF52A1" w:rsidRPr="00B6079C" w:rsidRDefault="00CF52A1" w:rsidP="00CF52A1">
      <w:pPr>
        <w:rPr>
          <w:rFonts w:cs="Arial"/>
          <w:sz w:val="24"/>
          <w:szCs w:val="24"/>
        </w:rPr>
      </w:pPr>
      <w:r w:rsidRPr="00B6079C">
        <w:rPr>
          <w:noProof/>
          <w:sz w:val="24"/>
          <w:szCs w:val="24"/>
        </w:rPr>
        <w:drawing>
          <wp:inline distT="0" distB="0" distL="0" distR="0" wp14:anchorId="0AD7028C" wp14:editId="758963EA">
            <wp:extent cx="4448175" cy="2571750"/>
            <wp:effectExtent l="0" t="0" r="9525" b="190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F52A1" w:rsidRPr="00B6079C" w:rsidRDefault="00CF52A1" w:rsidP="00CF52A1">
      <w:pPr>
        <w:rPr>
          <w:rFonts w:cs="Arial"/>
          <w:sz w:val="20"/>
          <w:szCs w:val="20"/>
        </w:rPr>
      </w:pPr>
      <w:r w:rsidRPr="00B6079C">
        <w:rPr>
          <w:rFonts w:cs="Arial"/>
          <w:sz w:val="20"/>
          <w:szCs w:val="20"/>
        </w:rPr>
        <w:t>Figure 24: Student numbers by disability (2013-14)</w:t>
      </w:r>
    </w:p>
    <w:p w:rsidR="00CF52A1" w:rsidRDefault="00CF52A1" w:rsidP="00CF52A1">
      <w:pPr>
        <w:rPr>
          <w:rFonts w:cs="Arial"/>
          <w:sz w:val="24"/>
          <w:szCs w:val="24"/>
        </w:rPr>
      </w:pPr>
    </w:p>
    <w:p w:rsidR="00CF52A1" w:rsidRPr="00B6079C" w:rsidRDefault="00CF52A1" w:rsidP="00CF52A1">
      <w:pPr>
        <w:ind w:firstLine="0"/>
        <w:rPr>
          <w:rFonts w:cs="Arial"/>
          <w:sz w:val="24"/>
          <w:szCs w:val="24"/>
        </w:rPr>
      </w:pPr>
      <w:r w:rsidRPr="00B6079C">
        <w:rPr>
          <w:rFonts w:cs="Arial"/>
          <w:sz w:val="24"/>
          <w:szCs w:val="24"/>
        </w:rPr>
        <w:t>960 and 393 undergraduates and graduates (equating to 8.1% and 6.0% respectively) disclosed a disability in 2013-14 (Figure 24). These figures increased by 0.7% and 0.9% respectively from 2012-2013.</w:t>
      </w:r>
    </w:p>
    <w:p w:rsidR="00CF52A1" w:rsidRDefault="00CF52A1" w:rsidP="00CF52A1">
      <w:pPr>
        <w:pStyle w:val="Heading3"/>
      </w:pPr>
      <w:r w:rsidRPr="00B6079C">
        <w:t>4.3.2 Undergraduate degree attainment by disability</w:t>
      </w:r>
    </w:p>
    <w:p w:rsidR="00CF52A1" w:rsidRPr="00CF52A1" w:rsidRDefault="00CF52A1" w:rsidP="00CF52A1"/>
    <w:tbl>
      <w:tblPr>
        <w:tblStyle w:val="TableGrid"/>
        <w:tblW w:w="0" w:type="auto"/>
        <w:tblLook w:val="04A0" w:firstRow="1" w:lastRow="0" w:firstColumn="1" w:lastColumn="0" w:noHBand="0" w:noVBand="1"/>
      </w:tblPr>
      <w:tblGrid>
        <w:gridCol w:w="2376"/>
        <w:gridCol w:w="1560"/>
        <w:gridCol w:w="2126"/>
        <w:gridCol w:w="3118"/>
      </w:tblGrid>
      <w:tr w:rsidR="00CF52A1" w:rsidRPr="00CF52A1" w:rsidTr="00CF52A1">
        <w:tc>
          <w:tcPr>
            <w:tcW w:w="2376" w:type="dxa"/>
          </w:tcPr>
          <w:p w:rsidR="00CF52A1" w:rsidRPr="00CF52A1" w:rsidRDefault="00CF52A1" w:rsidP="00784F84">
            <w:pPr>
              <w:rPr>
                <w:rFonts w:cs="Arial"/>
                <w:b/>
                <w:sz w:val="24"/>
                <w:szCs w:val="24"/>
              </w:rPr>
            </w:pPr>
          </w:p>
        </w:tc>
        <w:tc>
          <w:tcPr>
            <w:tcW w:w="1560" w:type="dxa"/>
          </w:tcPr>
          <w:p w:rsidR="00CF52A1" w:rsidRPr="00CF52A1" w:rsidRDefault="00CF52A1" w:rsidP="00CF52A1">
            <w:pPr>
              <w:ind w:firstLine="0"/>
              <w:rPr>
                <w:rFonts w:cs="Arial"/>
                <w:b/>
                <w:sz w:val="24"/>
                <w:szCs w:val="24"/>
              </w:rPr>
            </w:pPr>
            <w:r w:rsidRPr="00CF52A1">
              <w:rPr>
                <w:rFonts w:cs="Arial"/>
                <w:b/>
                <w:sz w:val="24"/>
                <w:szCs w:val="24"/>
              </w:rPr>
              <w:t>Class I</w:t>
            </w:r>
          </w:p>
        </w:tc>
        <w:tc>
          <w:tcPr>
            <w:tcW w:w="2126" w:type="dxa"/>
          </w:tcPr>
          <w:p w:rsidR="00CF52A1" w:rsidRPr="00CF52A1" w:rsidRDefault="00CF52A1" w:rsidP="00CF52A1">
            <w:pPr>
              <w:ind w:firstLine="0"/>
              <w:rPr>
                <w:rFonts w:cs="Arial"/>
                <w:b/>
                <w:sz w:val="24"/>
                <w:szCs w:val="24"/>
              </w:rPr>
            </w:pPr>
            <w:r w:rsidRPr="00CF52A1">
              <w:rPr>
                <w:rFonts w:cs="Arial"/>
                <w:b/>
                <w:sz w:val="24"/>
                <w:szCs w:val="24"/>
              </w:rPr>
              <w:t>Class II Division I</w:t>
            </w:r>
          </w:p>
        </w:tc>
        <w:tc>
          <w:tcPr>
            <w:tcW w:w="3118" w:type="dxa"/>
          </w:tcPr>
          <w:p w:rsidR="00CF52A1" w:rsidRPr="00CF52A1" w:rsidRDefault="00CF52A1" w:rsidP="00CF52A1">
            <w:pPr>
              <w:ind w:firstLine="0"/>
              <w:rPr>
                <w:rFonts w:cs="Arial"/>
                <w:b/>
                <w:sz w:val="24"/>
                <w:szCs w:val="24"/>
              </w:rPr>
            </w:pPr>
            <w:r w:rsidRPr="00CF52A1">
              <w:rPr>
                <w:rFonts w:cs="Arial"/>
                <w:b/>
                <w:sz w:val="24"/>
                <w:szCs w:val="24"/>
              </w:rPr>
              <w:t>Class II Division II and lower</w:t>
            </w:r>
          </w:p>
        </w:tc>
      </w:tr>
      <w:tr w:rsidR="00CF52A1" w:rsidRPr="00B6079C" w:rsidTr="00CF52A1">
        <w:tc>
          <w:tcPr>
            <w:tcW w:w="2376" w:type="dxa"/>
          </w:tcPr>
          <w:p w:rsidR="00CF52A1" w:rsidRPr="00B6079C" w:rsidRDefault="00CF52A1" w:rsidP="00CF52A1">
            <w:pPr>
              <w:ind w:firstLine="0"/>
              <w:rPr>
                <w:rFonts w:cs="Arial"/>
                <w:sz w:val="24"/>
                <w:szCs w:val="24"/>
              </w:rPr>
            </w:pPr>
            <w:r w:rsidRPr="00B6079C">
              <w:rPr>
                <w:rFonts w:cs="Arial"/>
                <w:sz w:val="24"/>
                <w:szCs w:val="24"/>
              </w:rPr>
              <w:t>No Disability</w:t>
            </w:r>
          </w:p>
        </w:tc>
        <w:tc>
          <w:tcPr>
            <w:tcW w:w="1560" w:type="dxa"/>
          </w:tcPr>
          <w:p w:rsidR="00CF52A1" w:rsidRPr="00B6079C" w:rsidRDefault="00CF52A1" w:rsidP="00784F84">
            <w:pPr>
              <w:rPr>
                <w:rFonts w:cs="Arial"/>
                <w:sz w:val="24"/>
                <w:szCs w:val="24"/>
              </w:rPr>
            </w:pPr>
            <w:r w:rsidRPr="00B6079C">
              <w:rPr>
                <w:rFonts w:cs="Arial"/>
                <w:sz w:val="24"/>
                <w:szCs w:val="24"/>
              </w:rPr>
              <w:t>21.5%</w:t>
            </w:r>
          </w:p>
        </w:tc>
        <w:tc>
          <w:tcPr>
            <w:tcW w:w="2126" w:type="dxa"/>
          </w:tcPr>
          <w:p w:rsidR="00CF52A1" w:rsidRPr="00B6079C" w:rsidRDefault="00CF52A1" w:rsidP="00784F84">
            <w:pPr>
              <w:rPr>
                <w:rFonts w:cs="Arial"/>
                <w:sz w:val="24"/>
                <w:szCs w:val="24"/>
              </w:rPr>
            </w:pPr>
            <w:r w:rsidRPr="00B6079C">
              <w:rPr>
                <w:rFonts w:cs="Arial"/>
                <w:sz w:val="24"/>
                <w:szCs w:val="24"/>
              </w:rPr>
              <w:t>45.8%</w:t>
            </w:r>
          </w:p>
        </w:tc>
        <w:tc>
          <w:tcPr>
            <w:tcW w:w="3118" w:type="dxa"/>
          </w:tcPr>
          <w:p w:rsidR="00CF52A1" w:rsidRPr="00B6079C" w:rsidRDefault="00CF52A1" w:rsidP="00784F84">
            <w:pPr>
              <w:rPr>
                <w:rFonts w:cs="Arial"/>
                <w:sz w:val="24"/>
                <w:szCs w:val="24"/>
              </w:rPr>
            </w:pPr>
            <w:r w:rsidRPr="00B6079C">
              <w:rPr>
                <w:rFonts w:cs="Arial"/>
                <w:sz w:val="24"/>
                <w:szCs w:val="24"/>
              </w:rPr>
              <w:t>32.7%</w:t>
            </w:r>
          </w:p>
        </w:tc>
      </w:tr>
      <w:tr w:rsidR="00CF52A1" w:rsidRPr="00B6079C" w:rsidTr="00CF52A1">
        <w:trPr>
          <w:trHeight w:val="70"/>
        </w:trPr>
        <w:tc>
          <w:tcPr>
            <w:tcW w:w="2376" w:type="dxa"/>
          </w:tcPr>
          <w:p w:rsidR="00CF52A1" w:rsidRPr="00B6079C" w:rsidRDefault="00CF52A1" w:rsidP="00CF52A1">
            <w:pPr>
              <w:ind w:firstLine="0"/>
              <w:rPr>
                <w:rFonts w:cs="Arial"/>
                <w:sz w:val="24"/>
                <w:szCs w:val="24"/>
              </w:rPr>
            </w:pPr>
            <w:r w:rsidRPr="00B6079C">
              <w:rPr>
                <w:rFonts w:cs="Arial"/>
                <w:sz w:val="24"/>
                <w:szCs w:val="24"/>
              </w:rPr>
              <w:t>Declared Disability</w:t>
            </w:r>
          </w:p>
        </w:tc>
        <w:tc>
          <w:tcPr>
            <w:tcW w:w="1560" w:type="dxa"/>
          </w:tcPr>
          <w:p w:rsidR="00CF52A1" w:rsidRPr="00B6079C" w:rsidRDefault="00CF52A1" w:rsidP="00784F84">
            <w:pPr>
              <w:rPr>
                <w:rFonts w:cs="Arial"/>
                <w:sz w:val="24"/>
                <w:szCs w:val="24"/>
              </w:rPr>
            </w:pPr>
            <w:r w:rsidRPr="00B6079C">
              <w:rPr>
                <w:rFonts w:cs="Arial"/>
                <w:sz w:val="24"/>
                <w:szCs w:val="24"/>
              </w:rPr>
              <w:t>20.5%</w:t>
            </w:r>
          </w:p>
        </w:tc>
        <w:tc>
          <w:tcPr>
            <w:tcW w:w="2126" w:type="dxa"/>
          </w:tcPr>
          <w:p w:rsidR="00CF52A1" w:rsidRPr="00B6079C" w:rsidRDefault="00CF52A1" w:rsidP="00784F84">
            <w:pPr>
              <w:rPr>
                <w:rFonts w:cs="Arial"/>
                <w:sz w:val="24"/>
                <w:szCs w:val="24"/>
              </w:rPr>
            </w:pPr>
            <w:r w:rsidRPr="00B6079C">
              <w:rPr>
                <w:rFonts w:cs="Arial"/>
                <w:sz w:val="24"/>
                <w:szCs w:val="24"/>
              </w:rPr>
              <w:t>48.7%</w:t>
            </w:r>
          </w:p>
        </w:tc>
        <w:tc>
          <w:tcPr>
            <w:tcW w:w="3118" w:type="dxa"/>
          </w:tcPr>
          <w:p w:rsidR="00CF52A1" w:rsidRPr="00B6079C" w:rsidRDefault="00CF52A1" w:rsidP="00784F84">
            <w:pPr>
              <w:rPr>
                <w:rFonts w:cs="Arial"/>
                <w:sz w:val="24"/>
                <w:szCs w:val="24"/>
              </w:rPr>
            </w:pPr>
            <w:r w:rsidRPr="00B6079C">
              <w:rPr>
                <w:rFonts w:cs="Arial"/>
                <w:sz w:val="24"/>
                <w:szCs w:val="24"/>
              </w:rPr>
              <w:t>31.2%</w:t>
            </w:r>
          </w:p>
        </w:tc>
      </w:tr>
    </w:tbl>
    <w:p w:rsidR="00CF52A1" w:rsidRPr="00B6079C" w:rsidRDefault="00CF52A1" w:rsidP="00CF52A1">
      <w:pPr>
        <w:rPr>
          <w:rFonts w:cs="Arial"/>
          <w:sz w:val="24"/>
          <w:szCs w:val="24"/>
        </w:rPr>
      </w:pPr>
    </w:p>
    <w:p w:rsidR="00CF52A1" w:rsidRDefault="00CF52A1" w:rsidP="00CF52A1">
      <w:pPr>
        <w:ind w:firstLine="0"/>
        <w:rPr>
          <w:rFonts w:cs="Arial"/>
          <w:sz w:val="24"/>
          <w:szCs w:val="24"/>
        </w:rPr>
      </w:pPr>
      <w:r w:rsidRPr="00B6079C">
        <w:rPr>
          <w:rFonts w:cs="Arial"/>
          <w:sz w:val="24"/>
          <w:szCs w:val="24"/>
        </w:rPr>
        <w:t>The percentage of students with no declared disability gaining first class examination results was 21.5% compared with 20.5% of students who declared a disability.</w:t>
      </w:r>
    </w:p>
    <w:p w:rsidR="00CF52A1" w:rsidRPr="00B6079C" w:rsidRDefault="00CF52A1" w:rsidP="00CF52A1">
      <w:pPr>
        <w:ind w:firstLine="0"/>
        <w:rPr>
          <w:rFonts w:cs="Arial"/>
          <w:sz w:val="24"/>
          <w:szCs w:val="24"/>
        </w:rPr>
      </w:pPr>
    </w:p>
    <w:p w:rsidR="00CF52A1" w:rsidRDefault="00CF52A1" w:rsidP="00CF52A1">
      <w:pPr>
        <w:ind w:firstLine="0"/>
        <w:rPr>
          <w:rFonts w:cs="Arial"/>
          <w:sz w:val="24"/>
          <w:szCs w:val="24"/>
        </w:rPr>
      </w:pPr>
      <w:r w:rsidRPr="00B6079C">
        <w:rPr>
          <w:rFonts w:cs="Arial"/>
          <w:sz w:val="24"/>
          <w:szCs w:val="24"/>
        </w:rPr>
        <w:t>In 2013-14 the University made amendments  to its Code of Practice on reasonable adjustments to teaching and examining for disabled students, including an extension of recording permissions (in specific circumstances) to seminars and supervisions and the introduction of a baseline provision of specifically identified adjustments for students with Specific Learning Difficulties (</w:t>
      </w:r>
      <w:proofErr w:type="spellStart"/>
      <w:r w:rsidRPr="00B6079C">
        <w:rPr>
          <w:rFonts w:cs="Arial"/>
          <w:sz w:val="24"/>
          <w:szCs w:val="24"/>
        </w:rPr>
        <w:t>SpLDs</w:t>
      </w:r>
      <w:proofErr w:type="spellEnd"/>
      <w:r w:rsidRPr="00B6079C">
        <w:rPr>
          <w:rFonts w:cs="Arial"/>
          <w:sz w:val="24"/>
          <w:szCs w:val="24"/>
        </w:rPr>
        <w:t>) . The amendments also strengthened sections related to disclosure and anticipatory duties as well as the process used to disseminate information on recommended student support; the Student Support Document (SSD). The Code of Practice also contains the procedure regarding consideration of requests for alternative modes of assessment.</w:t>
      </w:r>
    </w:p>
    <w:p w:rsidR="00CF52A1" w:rsidRDefault="00CF52A1" w:rsidP="00CF52A1">
      <w:pPr>
        <w:ind w:firstLine="0"/>
        <w:rPr>
          <w:rFonts w:cs="Arial"/>
          <w:sz w:val="24"/>
          <w:szCs w:val="24"/>
        </w:rPr>
      </w:pPr>
    </w:p>
    <w:p w:rsidR="00CF52A1" w:rsidRPr="00B6079C" w:rsidRDefault="00CF52A1" w:rsidP="00CF52A1">
      <w:pPr>
        <w:pStyle w:val="Heading2"/>
      </w:pPr>
      <w:r w:rsidRPr="00B6079C">
        <w:t>4.4 Age</w:t>
      </w:r>
    </w:p>
    <w:p w:rsidR="00CF52A1" w:rsidRPr="00B6079C" w:rsidRDefault="00CF52A1" w:rsidP="00CF52A1">
      <w:pPr>
        <w:ind w:firstLine="0"/>
        <w:rPr>
          <w:rFonts w:cs="Arial"/>
          <w:sz w:val="24"/>
          <w:szCs w:val="24"/>
        </w:rPr>
      </w:pPr>
      <w:r w:rsidRPr="00B6079C">
        <w:rPr>
          <w:rFonts w:cs="Arial"/>
          <w:sz w:val="24"/>
          <w:szCs w:val="24"/>
        </w:rPr>
        <w:t>Undergraduate and postgraduate students had a median age of 18 and 24 respectively at time of admission to the University.</w:t>
      </w:r>
    </w:p>
    <w:p w:rsidR="00CF52A1" w:rsidRPr="00B6079C" w:rsidRDefault="00CF52A1" w:rsidP="00CF52A1">
      <w:pPr>
        <w:rPr>
          <w:rFonts w:cs="Arial"/>
          <w:sz w:val="24"/>
          <w:szCs w:val="24"/>
        </w:rPr>
      </w:pPr>
    </w:p>
    <w:p w:rsidR="00CF52A1" w:rsidRPr="00B6079C" w:rsidRDefault="00CF52A1" w:rsidP="00CF52A1">
      <w:pPr>
        <w:pStyle w:val="Heading2"/>
      </w:pPr>
      <w:r w:rsidRPr="00B6079C">
        <w:t>4.5 Other Equality Areas</w:t>
      </w:r>
    </w:p>
    <w:p w:rsidR="00CF52A1" w:rsidRDefault="00CF52A1" w:rsidP="00CF52A1">
      <w:pPr>
        <w:ind w:firstLine="0"/>
        <w:rPr>
          <w:sz w:val="24"/>
          <w:szCs w:val="24"/>
        </w:rPr>
      </w:pPr>
      <w:r w:rsidRPr="00B6079C">
        <w:rPr>
          <w:rFonts w:cs="Arial"/>
          <w:sz w:val="24"/>
          <w:szCs w:val="24"/>
        </w:rPr>
        <w:t>The University of Cambridge does not currently monitor or report on the Equality Act 2010 protected characteristics of sexual orientation, religion or belief, or gender identity for its students. The University engaged with HESA’s consultation in 2011 on introducing these categories to the student record and notes that it is still optional as to whether institutions return this information in their HESA return.</w:t>
      </w:r>
      <w:r w:rsidRPr="00B6079C">
        <w:rPr>
          <w:sz w:val="24"/>
          <w:szCs w:val="24"/>
        </w:rPr>
        <w:t xml:space="preserve"> The University continues to review its internal mechanisms for capturing and storing any such data so that it is prepared, if required, to return these data to HESA in the future. </w:t>
      </w:r>
    </w:p>
    <w:p w:rsidR="00CF52A1" w:rsidRPr="00B6079C" w:rsidRDefault="00CF52A1" w:rsidP="00CF52A1">
      <w:pPr>
        <w:ind w:firstLine="0"/>
        <w:rPr>
          <w:sz w:val="24"/>
          <w:szCs w:val="24"/>
        </w:rPr>
      </w:pPr>
    </w:p>
    <w:p w:rsidR="00CF52A1" w:rsidRDefault="00CF52A1" w:rsidP="00CF52A1">
      <w:pPr>
        <w:ind w:firstLine="0"/>
        <w:rPr>
          <w:rFonts w:cs="Arial"/>
          <w:sz w:val="24"/>
          <w:szCs w:val="24"/>
        </w:rPr>
      </w:pPr>
      <w:r w:rsidRPr="00B6079C">
        <w:rPr>
          <w:rFonts w:cs="Arial"/>
          <w:sz w:val="24"/>
          <w:szCs w:val="24"/>
        </w:rPr>
        <w:t xml:space="preserve">Equality and Diversity guidance documents for these protected characteristics are considered by the Equality and Diversity section and GBEC’s Standing Committee on Equality and Diversity. In 2013-14 a draft guidance document on Students Undergoing Gender Reassignment was circulated to the Committee. </w:t>
      </w:r>
    </w:p>
    <w:p w:rsidR="00CF52A1" w:rsidRPr="00B6079C" w:rsidRDefault="00CF52A1" w:rsidP="00CF52A1">
      <w:pPr>
        <w:ind w:firstLine="0"/>
        <w:rPr>
          <w:rFonts w:cs="Arial"/>
          <w:sz w:val="24"/>
          <w:szCs w:val="24"/>
        </w:rPr>
      </w:pPr>
    </w:p>
    <w:p w:rsidR="00CF52A1" w:rsidRPr="00B6079C" w:rsidRDefault="00CF52A1" w:rsidP="00CF52A1">
      <w:pPr>
        <w:ind w:firstLine="0"/>
        <w:rPr>
          <w:rFonts w:cs="Arial"/>
          <w:sz w:val="24"/>
          <w:szCs w:val="24"/>
        </w:rPr>
      </w:pPr>
      <w:r w:rsidRPr="00B6079C">
        <w:rPr>
          <w:rFonts w:cs="Arial"/>
          <w:sz w:val="24"/>
          <w:szCs w:val="24"/>
        </w:rPr>
        <w:t>The Committee also noted that a working group has been established to consider a policy on faith-related provision for university examinations. Work is ongoing in both these areas.</w:t>
      </w:r>
    </w:p>
    <w:p w:rsidR="00C813CD" w:rsidRPr="00C813CD" w:rsidRDefault="00C813CD" w:rsidP="00F86F08">
      <w:pPr>
        <w:spacing w:after="200" w:line="276" w:lineRule="auto"/>
        <w:ind w:firstLine="0"/>
        <w:rPr>
          <w:sz w:val="24"/>
          <w:szCs w:val="24"/>
        </w:rPr>
      </w:pPr>
    </w:p>
    <w:p w:rsidR="00C93167" w:rsidRPr="00C813CD" w:rsidRDefault="00C93167" w:rsidP="00F86F08">
      <w:pPr>
        <w:spacing w:after="200" w:line="276" w:lineRule="auto"/>
        <w:ind w:firstLine="0"/>
        <w:rPr>
          <w:sz w:val="24"/>
          <w:szCs w:val="24"/>
        </w:rPr>
      </w:pPr>
      <w:r w:rsidRPr="00C813CD">
        <w:rPr>
          <w:sz w:val="24"/>
          <w:szCs w:val="24"/>
        </w:rPr>
        <w:br w:type="page"/>
      </w:r>
    </w:p>
    <w:p w:rsidR="00C93167" w:rsidRDefault="00C93167" w:rsidP="00F86F08">
      <w:pPr>
        <w:ind w:firstLine="0"/>
      </w:pPr>
    </w:p>
    <w:p w:rsidR="003D0037" w:rsidRDefault="003D0037" w:rsidP="00F86F08">
      <w:pPr>
        <w:ind w:firstLine="0"/>
      </w:pPr>
      <w:r>
        <w:t xml:space="preserve"> </w:t>
      </w:r>
    </w:p>
    <w:p w:rsidR="003D0037" w:rsidRPr="00996BF1" w:rsidRDefault="003D0037" w:rsidP="00F86F08">
      <w:pPr>
        <w:pStyle w:val="Heading1"/>
        <w:rPr>
          <w:sz w:val="28"/>
          <w:szCs w:val="28"/>
          <w:highlight w:val="yellow"/>
        </w:rPr>
      </w:pPr>
      <w:bookmarkStart w:id="65" w:name="_Toc400632062"/>
      <w:bookmarkStart w:id="66" w:name="_Toc401575380"/>
      <w:r w:rsidRPr="00996BF1">
        <w:rPr>
          <w:sz w:val="28"/>
          <w:szCs w:val="28"/>
          <w:highlight w:val="yellow"/>
        </w:rPr>
        <w:t>5.0 Equality Analysis- Equality Assurance Assessments</w:t>
      </w:r>
      <w:bookmarkEnd w:id="65"/>
      <w:bookmarkEnd w:id="66"/>
      <w:r w:rsidRPr="00996BF1">
        <w:rPr>
          <w:sz w:val="28"/>
          <w:szCs w:val="28"/>
          <w:highlight w:val="yellow"/>
        </w:rPr>
        <w:t xml:space="preserve"> </w:t>
      </w:r>
    </w:p>
    <w:p w:rsidR="003D0037" w:rsidRPr="00096561" w:rsidRDefault="003D0037" w:rsidP="00F86F08">
      <w:pPr>
        <w:ind w:firstLine="0"/>
        <w:rPr>
          <w:highlight w:val="yellow"/>
        </w:rPr>
      </w:pPr>
    </w:p>
    <w:p w:rsidR="00B82F34" w:rsidRPr="00B82F34" w:rsidRDefault="00B82F34" w:rsidP="00B82F34">
      <w:pPr>
        <w:shd w:val="clear" w:color="auto" w:fill="FFFFFF"/>
        <w:ind w:firstLine="0"/>
        <w:rPr>
          <w:rFonts w:cs="Arial"/>
          <w:sz w:val="24"/>
          <w:szCs w:val="24"/>
        </w:rPr>
      </w:pPr>
      <w:r w:rsidRPr="00B82F34">
        <w:rPr>
          <w:rFonts w:cs="Arial"/>
          <w:sz w:val="24"/>
          <w:szCs w:val="24"/>
        </w:rPr>
        <w:t xml:space="preserve">The University is </w:t>
      </w:r>
      <w:r w:rsidRPr="00B82F34">
        <w:rPr>
          <w:rFonts w:cs="Arial"/>
          <w:sz w:val="24"/>
          <w:szCs w:val="24"/>
          <w:lang w:val="en"/>
        </w:rPr>
        <w:t xml:space="preserve">committed to </w:t>
      </w:r>
      <w:r w:rsidRPr="00B82F34">
        <w:rPr>
          <w:rFonts w:cs="Arial"/>
          <w:sz w:val="24"/>
          <w:szCs w:val="24"/>
        </w:rPr>
        <w:t xml:space="preserve">developing and maintaining an institution where staff and students from all backgrounds can flourish. In keeping with institutional core values of freedom of thought and expression and freedom from discrimination, the University aims to develop policy and services that have a </w:t>
      </w:r>
      <w:r w:rsidRPr="00B82F34">
        <w:rPr>
          <w:rFonts w:cs="Arial"/>
          <w:sz w:val="24"/>
          <w:szCs w:val="24"/>
          <w:lang w:val="en"/>
        </w:rPr>
        <w:t xml:space="preserve">pro-active and inclusive approach to equality. </w:t>
      </w:r>
      <w:r w:rsidRPr="00B82F34">
        <w:rPr>
          <w:rFonts w:cs="Arial"/>
          <w:sz w:val="24"/>
          <w:szCs w:val="24"/>
        </w:rPr>
        <w:t xml:space="preserve">The EAA process supports this commitment and also ensures the University meets its equality duties as set out within the Equality Act 2010. </w:t>
      </w:r>
    </w:p>
    <w:p w:rsidR="00B82F34" w:rsidRPr="00B82F34" w:rsidRDefault="00B82F34" w:rsidP="00B82F34">
      <w:pPr>
        <w:shd w:val="clear" w:color="auto" w:fill="FFFFFF"/>
        <w:rPr>
          <w:rFonts w:cs="Arial"/>
          <w:sz w:val="24"/>
          <w:szCs w:val="24"/>
        </w:rPr>
      </w:pPr>
    </w:p>
    <w:p w:rsidR="00B82F34" w:rsidRPr="00B82F34" w:rsidRDefault="00B82F34" w:rsidP="00B82F34">
      <w:pPr>
        <w:shd w:val="clear" w:color="auto" w:fill="FFFFFF"/>
        <w:ind w:firstLine="0"/>
        <w:rPr>
          <w:rFonts w:cs="Arial"/>
          <w:sz w:val="24"/>
          <w:szCs w:val="24"/>
        </w:rPr>
      </w:pPr>
      <w:r w:rsidRPr="00B82F34">
        <w:rPr>
          <w:rFonts w:cs="Arial"/>
          <w:sz w:val="24"/>
          <w:szCs w:val="24"/>
        </w:rPr>
        <w:t xml:space="preserve">The process enables EAA Assessors to identify and consider any likely equality impact when developing or reviewing policies to adopt, or functions to implement. By using this evidence-based approach, the University is able to make higher quality decisions and consciously think about how a policy or function might support the fostering of good relations amongst different groups. The EAA process is a key tool in embedding equality into the core functions of the organisation and enabling the University to show due regard in fulfilling its legal obligations in line with the Public Equality Duties. </w:t>
      </w:r>
    </w:p>
    <w:p w:rsidR="00B82F34" w:rsidRPr="00B82F34" w:rsidRDefault="00B82F34" w:rsidP="00B82F34">
      <w:pPr>
        <w:shd w:val="clear" w:color="auto" w:fill="FFFFFF"/>
        <w:rPr>
          <w:rFonts w:cs="Arial"/>
          <w:sz w:val="24"/>
          <w:szCs w:val="24"/>
        </w:rPr>
      </w:pPr>
    </w:p>
    <w:p w:rsidR="00B82F34" w:rsidRPr="00B82F34" w:rsidRDefault="00B82F34" w:rsidP="00B82F34">
      <w:pPr>
        <w:ind w:firstLine="0"/>
        <w:rPr>
          <w:rFonts w:cs="Arial"/>
          <w:sz w:val="24"/>
          <w:szCs w:val="24"/>
        </w:rPr>
      </w:pPr>
      <w:r w:rsidRPr="00B82F34">
        <w:rPr>
          <w:rFonts w:cs="Arial"/>
          <w:sz w:val="24"/>
          <w:szCs w:val="24"/>
        </w:rPr>
        <w:t>The University of Cambridge’s Equality Assurance Assessments process is now a fully embedded system and is overseen by the EAA Review Group (EAARG).  The EAARG meets twice yearly to provide formal consideration of the EAA process, endorse EAA completion and respond to any issues or outcomes identified. The EAARG reports regularly to the E&amp;D Committee and University-wide EAA activity is reported annually within this report.</w:t>
      </w:r>
    </w:p>
    <w:p w:rsidR="00B82F34" w:rsidRPr="00B82F34" w:rsidRDefault="00B82F34" w:rsidP="00B82F34">
      <w:pPr>
        <w:rPr>
          <w:rFonts w:cs="Arial"/>
          <w:sz w:val="24"/>
          <w:szCs w:val="24"/>
        </w:rPr>
      </w:pPr>
      <w:r w:rsidRPr="00B82F34">
        <w:rPr>
          <w:rFonts w:cs="Arial"/>
          <w:sz w:val="24"/>
          <w:szCs w:val="24"/>
        </w:rPr>
        <w:t xml:space="preserve"> </w:t>
      </w:r>
    </w:p>
    <w:p w:rsidR="00B82F34" w:rsidRPr="00B82F34" w:rsidRDefault="00B82F34" w:rsidP="00B82F34">
      <w:pPr>
        <w:ind w:firstLine="0"/>
        <w:rPr>
          <w:rFonts w:cs="Arial"/>
          <w:sz w:val="24"/>
          <w:szCs w:val="24"/>
        </w:rPr>
      </w:pPr>
      <w:r w:rsidRPr="00B82F34">
        <w:rPr>
          <w:rFonts w:cs="Arial"/>
          <w:sz w:val="24"/>
          <w:szCs w:val="24"/>
        </w:rPr>
        <w:t xml:space="preserve">It is widely recognised that the majority of EAAs undertaken to assess the equality impact of policy and procedure fall within the Human Resources Division with other University areas using the process as required. An initial relevance check has been introduced to consider the requirement for policies to undergo the EAA process. Where it is irrelevant to carry out an EAA this is recorded and reported to the EAARG on an annual basis.  </w:t>
      </w:r>
    </w:p>
    <w:p w:rsidR="00B82F34" w:rsidRPr="00B82F34" w:rsidRDefault="00B82F34" w:rsidP="00B82F34">
      <w:pPr>
        <w:rPr>
          <w:rFonts w:cs="Arial"/>
          <w:sz w:val="24"/>
          <w:szCs w:val="24"/>
        </w:rPr>
      </w:pPr>
    </w:p>
    <w:p w:rsidR="00B82F34" w:rsidRDefault="00B82F34" w:rsidP="00B82F34">
      <w:pPr>
        <w:ind w:firstLine="0"/>
        <w:rPr>
          <w:rFonts w:cs="Arial"/>
          <w:sz w:val="24"/>
          <w:szCs w:val="24"/>
        </w:rPr>
      </w:pPr>
      <w:r w:rsidRPr="00B82F34">
        <w:rPr>
          <w:rFonts w:cs="Arial"/>
          <w:sz w:val="24"/>
          <w:szCs w:val="24"/>
        </w:rPr>
        <w:t xml:space="preserve">An example of a notable EAA is the EAA on the Code of Practice on the Selection of Staff. This EAA was completed as part of the Research Exercise Framework (REF) as required by the Higher Education Funding Council. The University of Cambridge was highly commended for the completion of this EAA which few other Universities undertook. </w:t>
      </w:r>
    </w:p>
    <w:p w:rsidR="00B82F34" w:rsidRDefault="00B82F34" w:rsidP="00B82F34">
      <w:pPr>
        <w:ind w:firstLine="0"/>
        <w:rPr>
          <w:rFonts w:cs="Arial"/>
          <w:sz w:val="24"/>
          <w:szCs w:val="24"/>
        </w:rPr>
      </w:pPr>
    </w:p>
    <w:p w:rsidR="00B82F34" w:rsidRPr="00B82F34" w:rsidRDefault="00B82F34" w:rsidP="00B82F34">
      <w:pPr>
        <w:ind w:firstLine="0"/>
        <w:rPr>
          <w:rFonts w:cs="Arial"/>
          <w:sz w:val="24"/>
          <w:szCs w:val="24"/>
        </w:rPr>
      </w:pPr>
      <w:r w:rsidRPr="00B82F34">
        <w:rPr>
          <w:rFonts w:cs="Arial"/>
          <w:sz w:val="24"/>
          <w:szCs w:val="24"/>
        </w:rPr>
        <w:t xml:space="preserve">Since the last Information report 2011-12, 21 EAAs have commenced. 4 EAAs are now fully concluded. A further 5 EAAs have been endorsed by the EAARG and it is envisaged these will be completed by the end of the current academic year. </w:t>
      </w:r>
    </w:p>
    <w:p w:rsidR="00B82F34" w:rsidRDefault="00B82F34" w:rsidP="00B82F34">
      <w:pPr>
        <w:ind w:firstLine="0"/>
        <w:rPr>
          <w:rFonts w:cs="Arial"/>
          <w:sz w:val="24"/>
          <w:szCs w:val="24"/>
        </w:rPr>
      </w:pPr>
    </w:p>
    <w:p w:rsidR="00B82F34" w:rsidRPr="00B82F34" w:rsidRDefault="00B82F34" w:rsidP="00B82F34">
      <w:pPr>
        <w:ind w:firstLine="0"/>
        <w:rPr>
          <w:rFonts w:cs="Arial"/>
          <w:sz w:val="24"/>
          <w:szCs w:val="24"/>
        </w:rPr>
      </w:pPr>
      <w:r w:rsidRPr="00B82F34">
        <w:rPr>
          <w:rFonts w:cs="Arial"/>
          <w:sz w:val="24"/>
          <w:szCs w:val="24"/>
        </w:rPr>
        <w:t>All EAAs which have reached Stage 3 are recorded o</w:t>
      </w:r>
      <w:r>
        <w:rPr>
          <w:rFonts w:cs="Arial"/>
          <w:sz w:val="24"/>
          <w:szCs w:val="24"/>
        </w:rPr>
        <w:t>n the EAA schedule (Appendix 3</w:t>
      </w:r>
      <w:r w:rsidRPr="00B82F34">
        <w:rPr>
          <w:rFonts w:cs="Arial"/>
          <w:sz w:val="24"/>
          <w:szCs w:val="24"/>
        </w:rPr>
        <w:t>) which is published. The Schedule plays a key role in the internal management of the EAA process.</w:t>
      </w:r>
    </w:p>
    <w:p w:rsidR="003D0037" w:rsidRPr="00996BF1" w:rsidRDefault="003D0037" w:rsidP="00F86F08">
      <w:pPr>
        <w:ind w:firstLine="0"/>
        <w:rPr>
          <w:sz w:val="24"/>
          <w:szCs w:val="24"/>
          <w:highlight w:val="yellow"/>
        </w:rPr>
      </w:pPr>
    </w:p>
    <w:p w:rsidR="00B523FF" w:rsidRDefault="003D0037" w:rsidP="00F86F08">
      <w:pPr>
        <w:ind w:firstLine="0"/>
        <w:rPr>
          <w:highlight w:val="yellow"/>
        </w:rPr>
      </w:pPr>
      <w:r w:rsidRPr="00096561">
        <w:rPr>
          <w:highlight w:val="yellow"/>
        </w:rPr>
        <w:t xml:space="preserve"> </w:t>
      </w:r>
    </w:p>
    <w:p w:rsidR="00B523FF" w:rsidRDefault="00B523FF">
      <w:pPr>
        <w:rPr>
          <w:highlight w:val="yellow"/>
        </w:rPr>
      </w:pPr>
      <w:r>
        <w:rPr>
          <w:highlight w:val="yellow"/>
        </w:rPr>
        <w:br w:type="page"/>
      </w:r>
    </w:p>
    <w:p w:rsidR="003E270F" w:rsidRPr="00096561" w:rsidRDefault="003E270F" w:rsidP="00F86F08">
      <w:pPr>
        <w:ind w:firstLine="0"/>
        <w:rPr>
          <w:highlight w:val="yellow"/>
        </w:rPr>
      </w:pPr>
    </w:p>
    <w:p w:rsidR="00B523FF" w:rsidRPr="00D965F4" w:rsidRDefault="00B523FF" w:rsidP="00B523FF">
      <w:pPr>
        <w:pStyle w:val="Heading1"/>
        <w:rPr>
          <w:sz w:val="28"/>
          <w:szCs w:val="28"/>
        </w:rPr>
      </w:pPr>
      <w:bookmarkStart w:id="67" w:name="_Toc401575381"/>
      <w:r w:rsidRPr="00D965F4">
        <w:rPr>
          <w:sz w:val="28"/>
          <w:szCs w:val="28"/>
        </w:rPr>
        <w:t xml:space="preserve">Appendix </w:t>
      </w:r>
      <w:r>
        <w:rPr>
          <w:sz w:val="28"/>
          <w:szCs w:val="28"/>
        </w:rPr>
        <w:t>1</w:t>
      </w:r>
      <w:bookmarkEnd w:id="67"/>
    </w:p>
    <w:p w:rsidR="00B523FF" w:rsidRPr="00D965F4" w:rsidRDefault="00B523FF" w:rsidP="00B523FF">
      <w:pPr>
        <w:ind w:firstLine="0"/>
      </w:pPr>
    </w:p>
    <w:p w:rsidR="00B523FF" w:rsidRPr="00381D1B" w:rsidRDefault="00B523FF" w:rsidP="00B523FF">
      <w:pPr>
        <w:pStyle w:val="Heading2"/>
        <w:rPr>
          <w:b/>
        </w:rPr>
      </w:pPr>
      <w:bookmarkStart w:id="68" w:name="_Toc401575382"/>
      <w:r w:rsidRPr="00381D1B">
        <w:rPr>
          <w:b/>
        </w:rPr>
        <w:t>Staff - Definitions and notes</w:t>
      </w:r>
      <w:bookmarkEnd w:id="68"/>
    </w:p>
    <w:p w:rsidR="00B523FF" w:rsidRPr="00D965F4" w:rsidRDefault="00B523FF" w:rsidP="00B523FF">
      <w:pPr>
        <w:ind w:firstLine="0"/>
        <w:rPr>
          <w:sz w:val="24"/>
          <w:szCs w:val="24"/>
        </w:rPr>
      </w:pPr>
      <w:r w:rsidRPr="00D965F4">
        <w:rPr>
          <w:sz w:val="24"/>
          <w:szCs w:val="24"/>
        </w:rPr>
        <w:t>This Equality &amp; Diversity Information Report is derived from the HR CHRIS</w:t>
      </w:r>
      <w:r w:rsidRPr="00D965F4">
        <w:rPr>
          <w:rStyle w:val="FootnoteReference"/>
          <w:sz w:val="24"/>
          <w:szCs w:val="24"/>
        </w:rPr>
        <w:footnoteReference w:id="24"/>
      </w:r>
      <w:r w:rsidRPr="00D965F4">
        <w:rPr>
          <w:sz w:val="24"/>
          <w:szCs w:val="24"/>
        </w:rPr>
        <w:t xml:space="preserve">  system at a 31 July 2013 census date.</w:t>
      </w:r>
    </w:p>
    <w:p w:rsidR="00B523FF" w:rsidRPr="00D965F4" w:rsidRDefault="00B523FF" w:rsidP="00B523FF">
      <w:pPr>
        <w:ind w:firstLine="0"/>
        <w:rPr>
          <w:sz w:val="24"/>
          <w:szCs w:val="24"/>
        </w:rPr>
      </w:pPr>
    </w:p>
    <w:p w:rsidR="00B523FF" w:rsidRPr="00D965F4" w:rsidRDefault="00B523FF" w:rsidP="00B523FF">
      <w:pPr>
        <w:ind w:firstLine="0"/>
        <w:rPr>
          <w:sz w:val="24"/>
          <w:szCs w:val="24"/>
        </w:rPr>
      </w:pPr>
      <w:r w:rsidRPr="00D965F4">
        <w:rPr>
          <w:sz w:val="24"/>
          <w:szCs w:val="24"/>
        </w:rPr>
        <w:t>The staff numbers presented are of individual staff members (headcount) rather than full time equivalent (FTE).  Where staff had multiple contracts or in cases where contracts involve more than one activity, a set rule was applied for non-Academic staff. The individual was assigned to the position with the highest FTE, or if the FTEs were identical, the staff member was assigned to the position that they had held for the longest period of time. In cases whe</w:t>
      </w:r>
      <w:r w:rsidR="00472598">
        <w:rPr>
          <w:sz w:val="24"/>
          <w:szCs w:val="24"/>
        </w:rPr>
        <w:t>re Academic staff held both an Academic and R</w:t>
      </w:r>
      <w:r w:rsidRPr="00D965F4">
        <w:rPr>
          <w:sz w:val="24"/>
          <w:szCs w:val="24"/>
        </w:rPr>
        <w:t>esearch post, they were assigned to their Academic role.</w:t>
      </w:r>
    </w:p>
    <w:p w:rsidR="00B523FF" w:rsidRPr="00D965F4" w:rsidRDefault="00B523FF" w:rsidP="00B523FF">
      <w:pPr>
        <w:ind w:firstLine="0"/>
        <w:rPr>
          <w:sz w:val="24"/>
          <w:szCs w:val="24"/>
        </w:rPr>
      </w:pPr>
    </w:p>
    <w:p w:rsidR="00B523FF" w:rsidRPr="00D965F4" w:rsidRDefault="00B523FF" w:rsidP="00B523FF">
      <w:pPr>
        <w:ind w:firstLine="0"/>
        <w:rPr>
          <w:sz w:val="24"/>
          <w:szCs w:val="24"/>
        </w:rPr>
      </w:pPr>
      <w:r w:rsidRPr="00D965F4">
        <w:rPr>
          <w:sz w:val="24"/>
          <w:szCs w:val="24"/>
        </w:rPr>
        <w:t>Positions held in association with a substantive full-time appointment, including Associate Lectureships, Heads of Department and Chairs of Faculty Boards, were not counted.</w:t>
      </w:r>
    </w:p>
    <w:p w:rsidR="00B523FF" w:rsidRPr="00D965F4" w:rsidRDefault="00B523FF" w:rsidP="00B523FF">
      <w:pPr>
        <w:ind w:firstLine="0"/>
        <w:rPr>
          <w:sz w:val="24"/>
          <w:szCs w:val="24"/>
        </w:rPr>
      </w:pPr>
    </w:p>
    <w:p w:rsidR="00B523FF" w:rsidRPr="00D965F4" w:rsidRDefault="00B523FF" w:rsidP="00B523FF">
      <w:pPr>
        <w:ind w:firstLine="0"/>
        <w:rPr>
          <w:sz w:val="24"/>
          <w:szCs w:val="24"/>
        </w:rPr>
      </w:pPr>
      <w:r w:rsidRPr="00D965F4">
        <w:rPr>
          <w:sz w:val="24"/>
          <w:szCs w:val="24"/>
        </w:rPr>
        <w:t>Where staff information categories would include numbers of less than five, information has not been included in accordance with Higher Education Statistics Agency (HESA) policy in order to protect the confidentiality of individuals</w:t>
      </w:r>
      <w:r w:rsidRPr="00D965F4">
        <w:rPr>
          <w:rStyle w:val="FootnoteReference"/>
          <w:sz w:val="24"/>
          <w:szCs w:val="24"/>
        </w:rPr>
        <w:footnoteReference w:id="25"/>
      </w:r>
      <w:r w:rsidRPr="00D965F4">
        <w:rPr>
          <w:sz w:val="24"/>
          <w:szCs w:val="24"/>
        </w:rPr>
        <w:t xml:space="preserve">.  </w:t>
      </w:r>
    </w:p>
    <w:p w:rsidR="00B523FF" w:rsidRPr="00D965F4" w:rsidRDefault="00B523FF" w:rsidP="00B523FF">
      <w:pPr>
        <w:ind w:firstLine="0"/>
        <w:rPr>
          <w:sz w:val="24"/>
          <w:szCs w:val="24"/>
        </w:rPr>
      </w:pPr>
    </w:p>
    <w:p w:rsidR="00B523FF" w:rsidRPr="00D965F4" w:rsidRDefault="00B523FF" w:rsidP="00B523FF">
      <w:pPr>
        <w:ind w:firstLine="0"/>
        <w:rPr>
          <w:sz w:val="24"/>
          <w:szCs w:val="24"/>
        </w:rPr>
      </w:pPr>
      <w:r w:rsidRPr="00D965F4">
        <w:rPr>
          <w:sz w:val="24"/>
          <w:szCs w:val="24"/>
        </w:rPr>
        <w:t>Due to rounding to one decimal place, some total percentages may not equal 100%. No statistical testing has been conducted due to the small number of staff in many of the categories and protected groups.</w:t>
      </w:r>
    </w:p>
    <w:p w:rsidR="00B523FF" w:rsidRPr="00D965F4" w:rsidRDefault="00B523FF" w:rsidP="00B523FF">
      <w:pPr>
        <w:ind w:firstLine="0"/>
        <w:rPr>
          <w:sz w:val="24"/>
          <w:szCs w:val="24"/>
        </w:rPr>
      </w:pPr>
    </w:p>
    <w:p w:rsidR="00B523FF" w:rsidRPr="00381D1B" w:rsidRDefault="00B523FF" w:rsidP="00B523FF">
      <w:pPr>
        <w:pStyle w:val="Heading2"/>
        <w:rPr>
          <w:b/>
        </w:rPr>
      </w:pPr>
      <w:bookmarkStart w:id="69" w:name="_Toc401575383"/>
      <w:r w:rsidRPr="00381D1B">
        <w:rPr>
          <w:b/>
        </w:rPr>
        <w:t>Age (staff)</w:t>
      </w:r>
      <w:bookmarkEnd w:id="69"/>
    </w:p>
    <w:p w:rsidR="00B523FF" w:rsidRPr="00D965F4" w:rsidRDefault="00B523FF" w:rsidP="00B523FF">
      <w:pPr>
        <w:ind w:firstLine="0"/>
        <w:rPr>
          <w:sz w:val="24"/>
          <w:szCs w:val="24"/>
        </w:rPr>
      </w:pPr>
    </w:p>
    <w:p w:rsidR="00B523FF" w:rsidRPr="00D965F4" w:rsidRDefault="00B523FF" w:rsidP="00B523FF">
      <w:pPr>
        <w:ind w:firstLine="0"/>
        <w:rPr>
          <w:sz w:val="24"/>
          <w:szCs w:val="24"/>
        </w:rPr>
      </w:pPr>
      <w:r w:rsidRPr="00D965F4">
        <w:rPr>
          <w:sz w:val="24"/>
          <w:szCs w:val="24"/>
        </w:rPr>
        <w:t>This report uses the following age categories:</w:t>
      </w:r>
    </w:p>
    <w:p w:rsidR="00B523FF" w:rsidRPr="00D965F4" w:rsidRDefault="00B523FF" w:rsidP="00B523FF">
      <w:pPr>
        <w:ind w:firstLine="0"/>
        <w:rPr>
          <w:sz w:val="24"/>
          <w:szCs w:val="24"/>
        </w:rPr>
      </w:pPr>
      <w:r w:rsidRPr="00D965F4">
        <w:rPr>
          <w:sz w:val="24"/>
          <w:szCs w:val="24"/>
        </w:rPr>
        <w:t>–</w:t>
      </w:r>
      <w:r w:rsidRPr="00D965F4">
        <w:rPr>
          <w:sz w:val="24"/>
          <w:szCs w:val="24"/>
        </w:rPr>
        <w:tab/>
        <w:t xml:space="preserve">Under 25 </w:t>
      </w:r>
    </w:p>
    <w:p w:rsidR="00B523FF" w:rsidRPr="00D965F4" w:rsidRDefault="00B523FF" w:rsidP="00B523FF">
      <w:pPr>
        <w:ind w:firstLine="0"/>
        <w:rPr>
          <w:sz w:val="24"/>
          <w:szCs w:val="24"/>
        </w:rPr>
      </w:pPr>
      <w:r w:rsidRPr="00D965F4">
        <w:rPr>
          <w:sz w:val="24"/>
          <w:szCs w:val="24"/>
        </w:rPr>
        <w:t>–</w:t>
      </w:r>
      <w:r w:rsidRPr="00D965F4">
        <w:rPr>
          <w:sz w:val="24"/>
          <w:szCs w:val="24"/>
        </w:rPr>
        <w:tab/>
        <w:t xml:space="preserve">25 to 29 </w:t>
      </w:r>
    </w:p>
    <w:p w:rsidR="00B523FF" w:rsidRPr="00D965F4" w:rsidRDefault="00B523FF" w:rsidP="00B523FF">
      <w:pPr>
        <w:ind w:firstLine="0"/>
        <w:rPr>
          <w:sz w:val="24"/>
          <w:szCs w:val="24"/>
        </w:rPr>
      </w:pPr>
      <w:r w:rsidRPr="00D965F4">
        <w:rPr>
          <w:sz w:val="24"/>
          <w:szCs w:val="24"/>
        </w:rPr>
        <w:t>–</w:t>
      </w:r>
      <w:r w:rsidRPr="00D965F4">
        <w:rPr>
          <w:sz w:val="24"/>
          <w:szCs w:val="24"/>
        </w:rPr>
        <w:tab/>
        <w:t xml:space="preserve">30 to 34 </w:t>
      </w:r>
    </w:p>
    <w:p w:rsidR="00B523FF" w:rsidRPr="00D965F4" w:rsidRDefault="00B523FF" w:rsidP="00B523FF">
      <w:pPr>
        <w:ind w:firstLine="0"/>
        <w:rPr>
          <w:sz w:val="24"/>
          <w:szCs w:val="24"/>
        </w:rPr>
      </w:pPr>
      <w:r w:rsidRPr="00D965F4">
        <w:rPr>
          <w:sz w:val="24"/>
          <w:szCs w:val="24"/>
        </w:rPr>
        <w:t>–</w:t>
      </w:r>
      <w:r w:rsidRPr="00D965F4">
        <w:rPr>
          <w:sz w:val="24"/>
          <w:szCs w:val="24"/>
        </w:rPr>
        <w:tab/>
        <w:t>35 to 39</w:t>
      </w:r>
    </w:p>
    <w:p w:rsidR="00B523FF" w:rsidRPr="00D965F4" w:rsidRDefault="00B523FF" w:rsidP="00B523FF">
      <w:pPr>
        <w:ind w:firstLine="0"/>
        <w:rPr>
          <w:sz w:val="24"/>
          <w:szCs w:val="24"/>
        </w:rPr>
      </w:pPr>
      <w:r w:rsidRPr="00D965F4">
        <w:rPr>
          <w:sz w:val="24"/>
          <w:szCs w:val="24"/>
        </w:rPr>
        <w:t>–</w:t>
      </w:r>
      <w:r w:rsidRPr="00D965F4">
        <w:rPr>
          <w:sz w:val="24"/>
          <w:szCs w:val="24"/>
        </w:rPr>
        <w:tab/>
        <w:t xml:space="preserve">40 to 44 </w:t>
      </w:r>
    </w:p>
    <w:p w:rsidR="00B523FF" w:rsidRPr="00D965F4" w:rsidRDefault="00B523FF" w:rsidP="00B523FF">
      <w:pPr>
        <w:ind w:firstLine="0"/>
        <w:rPr>
          <w:sz w:val="24"/>
          <w:szCs w:val="24"/>
        </w:rPr>
      </w:pPr>
      <w:r w:rsidRPr="00D965F4">
        <w:rPr>
          <w:sz w:val="24"/>
          <w:szCs w:val="24"/>
        </w:rPr>
        <w:t>–</w:t>
      </w:r>
      <w:r w:rsidRPr="00D965F4">
        <w:rPr>
          <w:sz w:val="24"/>
          <w:szCs w:val="24"/>
        </w:rPr>
        <w:tab/>
        <w:t>45 to 49</w:t>
      </w:r>
    </w:p>
    <w:p w:rsidR="00B523FF" w:rsidRPr="00D965F4" w:rsidRDefault="00B523FF" w:rsidP="00B523FF">
      <w:pPr>
        <w:ind w:firstLine="0"/>
        <w:rPr>
          <w:sz w:val="24"/>
          <w:szCs w:val="24"/>
        </w:rPr>
      </w:pPr>
      <w:r w:rsidRPr="00D965F4">
        <w:rPr>
          <w:sz w:val="24"/>
          <w:szCs w:val="24"/>
        </w:rPr>
        <w:t>–</w:t>
      </w:r>
      <w:r w:rsidRPr="00D965F4">
        <w:rPr>
          <w:sz w:val="24"/>
          <w:szCs w:val="24"/>
        </w:rPr>
        <w:tab/>
        <w:t xml:space="preserve">50 to 54 </w:t>
      </w:r>
    </w:p>
    <w:p w:rsidR="00B523FF" w:rsidRPr="00D965F4" w:rsidRDefault="00B523FF" w:rsidP="00B523FF">
      <w:pPr>
        <w:ind w:firstLine="0"/>
        <w:rPr>
          <w:sz w:val="24"/>
          <w:szCs w:val="24"/>
        </w:rPr>
      </w:pPr>
      <w:r w:rsidRPr="00D965F4">
        <w:rPr>
          <w:sz w:val="24"/>
          <w:szCs w:val="24"/>
        </w:rPr>
        <w:t>–</w:t>
      </w:r>
      <w:r w:rsidRPr="00D965F4">
        <w:rPr>
          <w:sz w:val="24"/>
          <w:szCs w:val="24"/>
        </w:rPr>
        <w:tab/>
        <w:t>55 to 59</w:t>
      </w:r>
    </w:p>
    <w:p w:rsidR="00B523FF" w:rsidRPr="00D965F4" w:rsidRDefault="00B523FF" w:rsidP="00B523FF">
      <w:pPr>
        <w:ind w:firstLine="0"/>
        <w:rPr>
          <w:sz w:val="24"/>
          <w:szCs w:val="24"/>
        </w:rPr>
      </w:pPr>
      <w:r w:rsidRPr="00D965F4">
        <w:rPr>
          <w:sz w:val="24"/>
          <w:szCs w:val="24"/>
        </w:rPr>
        <w:t>–</w:t>
      </w:r>
      <w:r w:rsidRPr="00D965F4">
        <w:rPr>
          <w:sz w:val="24"/>
          <w:szCs w:val="24"/>
        </w:rPr>
        <w:tab/>
        <w:t>60 to 64</w:t>
      </w:r>
    </w:p>
    <w:p w:rsidR="00B523FF" w:rsidRPr="00D965F4" w:rsidRDefault="00B523FF" w:rsidP="00B523FF">
      <w:pPr>
        <w:ind w:firstLine="0"/>
        <w:rPr>
          <w:sz w:val="24"/>
          <w:szCs w:val="24"/>
        </w:rPr>
      </w:pPr>
      <w:r w:rsidRPr="00D965F4">
        <w:rPr>
          <w:sz w:val="24"/>
          <w:szCs w:val="24"/>
        </w:rPr>
        <w:t>–</w:t>
      </w:r>
      <w:r w:rsidRPr="00D965F4">
        <w:rPr>
          <w:sz w:val="24"/>
          <w:szCs w:val="24"/>
        </w:rPr>
        <w:tab/>
        <w:t>65 to 69</w:t>
      </w:r>
    </w:p>
    <w:p w:rsidR="00B523FF" w:rsidRPr="00D965F4" w:rsidRDefault="00B523FF" w:rsidP="00B523FF">
      <w:pPr>
        <w:ind w:firstLine="0"/>
        <w:rPr>
          <w:sz w:val="24"/>
          <w:szCs w:val="24"/>
        </w:rPr>
      </w:pPr>
      <w:r w:rsidRPr="00D965F4">
        <w:rPr>
          <w:sz w:val="24"/>
          <w:szCs w:val="24"/>
        </w:rPr>
        <w:t>–</w:t>
      </w:r>
      <w:r w:rsidRPr="00D965F4">
        <w:rPr>
          <w:sz w:val="24"/>
          <w:szCs w:val="24"/>
        </w:rPr>
        <w:tab/>
        <w:t>70 and over</w:t>
      </w:r>
    </w:p>
    <w:p w:rsidR="00B523FF" w:rsidRPr="00D965F4" w:rsidRDefault="00B523FF" w:rsidP="00B523FF">
      <w:pPr>
        <w:ind w:firstLine="0"/>
        <w:rPr>
          <w:sz w:val="24"/>
          <w:szCs w:val="24"/>
        </w:rPr>
      </w:pPr>
      <w:r w:rsidRPr="00D965F4">
        <w:rPr>
          <w:sz w:val="24"/>
          <w:szCs w:val="24"/>
        </w:rPr>
        <w:t xml:space="preserve"> </w:t>
      </w:r>
    </w:p>
    <w:p w:rsidR="00B523FF" w:rsidRPr="00996BF1" w:rsidRDefault="00B523FF" w:rsidP="00B523FF">
      <w:pPr>
        <w:ind w:firstLine="0"/>
        <w:rPr>
          <w:sz w:val="24"/>
          <w:szCs w:val="24"/>
          <w:highlight w:val="yellow"/>
        </w:rPr>
      </w:pPr>
    </w:p>
    <w:p w:rsidR="00B523FF" w:rsidRPr="00381D1B" w:rsidRDefault="00B523FF" w:rsidP="00B523FF">
      <w:pPr>
        <w:pStyle w:val="Heading2"/>
        <w:rPr>
          <w:b/>
        </w:rPr>
      </w:pPr>
      <w:bookmarkStart w:id="70" w:name="_Toc401575384"/>
      <w:r w:rsidRPr="00381D1B">
        <w:rPr>
          <w:b/>
        </w:rPr>
        <w:lastRenderedPageBreak/>
        <w:t>Disability (staff)</w:t>
      </w:r>
      <w:bookmarkEnd w:id="70"/>
    </w:p>
    <w:p w:rsidR="00B523FF" w:rsidRPr="00D965F4" w:rsidRDefault="00B523FF" w:rsidP="00B523FF">
      <w:pPr>
        <w:ind w:firstLine="0"/>
        <w:rPr>
          <w:sz w:val="24"/>
          <w:szCs w:val="24"/>
        </w:rPr>
      </w:pPr>
    </w:p>
    <w:p w:rsidR="00B523FF" w:rsidRPr="00D965F4" w:rsidRDefault="00B523FF" w:rsidP="00B523FF">
      <w:pPr>
        <w:ind w:firstLine="0"/>
        <w:rPr>
          <w:sz w:val="24"/>
          <w:szCs w:val="24"/>
        </w:rPr>
      </w:pPr>
      <w:r w:rsidRPr="00D965F4">
        <w:rPr>
          <w:sz w:val="24"/>
          <w:szCs w:val="24"/>
        </w:rPr>
        <w:t>Disability is recorded within the CHRIS system using the HESA staff categories</w:t>
      </w:r>
      <w:r w:rsidRPr="00D965F4">
        <w:rPr>
          <w:rStyle w:val="FootnoteReference"/>
          <w:sz w:val="24"/>
          <w:szCs w:val="24"/>
        </w:rPr>
        <w:footnoteReference w:id="26"/>
      </w:r>
      <w:r w:rsidRPr="00D965F4">
        <w:rPr>
          <w:sz w:val="24"/>
          <w:szCs w:val="24"/>
        </w:rPr>
        <w:t xml:space="preserve">.  HESA has a number of disability fields for staff disclosure at either recruitment or during employment at the University.  </w:t>
      </w:r>
    </w:p>
    <w:p w:rsidR="00B523FF" w:rsidRPr="00D965F4" w:rsidRDefault="00B523FF" w:rsidP="00B523FF">
      <w:pPr>
        <w:ind w:firstLine="0"/>
        <w:rPr>
          <w:sz w:val="24"/>
          <w:szCs w:val="24"/>
        </w:rPr>
      </w:pPr>
    </w:p>
    <w:p w:rsidR="00B523FF" w:rsidRPr="00381D1B" w:rsidRDefault="00B523FF" w:rsidP="00B523FF">
      <w:pPr>
        <w:pStyle w:val="Heading2"/>
        <w:rPr>
          <w:b/>
        </w:rPr>
      </w:pPr>
      <w:bookmarkStart w:id="71" w:name="_Toc401575385"/>
      <w:r w:rsidRPr="00381D1B">
        <w:rPr>
          <w:b/>
        </w:rPr>
        <w:t>Ethnicity (staff)</w:t>
      </w:r>
      <w:bookmarkEnd w:id="71"/>
    </w:p>
    <w:p w:rsidR="00B523FF" w:rsidRDefault="00B523FF" w:rsidP="00B523FF">
      <w:pPr>
        <w:ind w:firstLine="0"/>
        <w:rPr>
          <w:sz w:val="24"/>
          <w:szCs w:val="24"/>
        </w:rPr>
      </w:pPr>
      <w:r w:rsidRPr="00BA2B04">
        <w:rPr>
          <w:sz w:val="24"/>
          <w:szCs w:val="24"/>
        </w:rPr>
        <w:t>Some ethnicity data has been combined for easier comparison so that all Mixed Ethnicities (White and Asian (44), White and Black African (12), White and Black Caribbean (5) and Other Mixed (56)) are encompassed in Mixed Ethnicity.  Historically only ‘White’ was recorded whereas the University now records White – British, White – Irish and White – Other as such for the purposes of this data, ‘White’ (365) has been included within White – British (5257).</w:t>
      </w:r>
    </w:p>
    <w:p w:rsidR="00B523FF" w:rsidRPr="00996BF1" w:rsidRDefault="00B523FF" w:rsidP="00B523FF">
      <w:pPr>
        <w:ind w:firstLine="0"/>
        <w:rPr>
          <w:sz w:val="24"/>
          <w:szCs w:val="24"/>
          <w:highlight w:val="yellow"/>
        </w:rPr>
      </w:pPr>
    </w:p>
    <w:p w:rsidR="00B523FF" w:rsidRPr="00BA2B04" w:rsidRDefault="00B523FF" w:rsidP="00B523FF">
      <w:pPr>
        <w:ind w:firstLine="0"/>
        <w:rPr>
          <w:sz w:val="24"/>
          <w:szCs w:val="24"/>
          <w:u w:val="single"/>
        </w:rPr>
      </w:pPr>
      <w:r w:rsidRPr="00BA2B04">
        <w:rPr>
          <w:sz w:val="24"/>
          <w:szCs w:val="24"/>
          <w:u w:val="single"/>
        </w:rPr>
        <w:t xml:space="preserve">Ethnicity has been aggregated into these groups: </w:t>
      </w:r>
    </w:p>
    <w:p w:rsidR="00B523FF" w:rsidRPr="00BA2B04" w:rsidRDefault="00B523FF" w:rsidP="00B523FF">
      <w:pPr>
        <w:ind w:firstLine="0"/>
        <w:rPr>
          <w:sz w:val="24"/>
          <w:szCs w:val="24"/>
        </w:rPr>
      </w:pPr>
      <w:r w:rsidRPr="00BA2B04">
        <w:rPr>
          <w:sz w:val="24"/>
          <w:szCs w:val="24"/>
        </w:rPr>
        <w:t>Arab</w:t>
      </w:r>
    </w:p>
    <w:p w:rsidR="00B523FF" w:rsidRPr="00BA2B04" w:rsidRDefault="00B523FF" w:rsidP="00B523FF">
      <w:pPr>
        <w:ind w:firstLine="0"/>
        <w:rPr>
          <w:sz w:val="24"/>
          <w:szCs w:val="24"/>
        </w:rPr>
      </w:pPr>
      <w:r w:rsidRPr="00BA2B04">
        <w:rPr>
          <w:sz w:val="24"/>
          <w:szCs w:val="24"/>
        </w:rPr>
        <w:t>Asian or Asian British - Bangladeshi</w:t>
      </w:r>
    </w:p>
    <w:p w:rsidR="00B523FF" w:rsidRPr="00BA2B04" w:rsidRDefault="00B523FF" w:rsidP="00B523FF">
      <w:pPr>
        <w:ind w:firstLine="0"/>
        <w:rPr>
          <w:sz w:val="24"/>
          <w:szCs w:val="24"/>
        </w:rPr>
      </w:pPr>
      <w:r w:rsidRPr="00BA2B04">
        <w:rPr>
          <w:sz w:val="24"/>
          <w:szCs w:val="24"/>
        </w:rPr>
        <w:t>Asian or Asian British - Indian</w:t>
      </w:r>
    </w:p>
    <w:p w:rsidR="00B523FF" w:rsidRPr="00BA2B04" w:rsidRDefault="00B523FF" w:rsidP="00B523FF">
      <w:pPr>
        <w:ind w:firstLine="0"/>
        <w:rPr>
          <w:sz w:val="24"/>
          <w:szCs w:val="24"/>
        </w:rPr>
      </w:pPr>
      <w:r w:rsidRPr="00BA2B04">
        <w:rPr>
          <w:sz w:val="24"/>
          <w:szCs w:val="24"/>
        </w:rPr>
        <w:t>Asian or Asian British - Pakistani</w:t>
      </w:r>
    </w:p>
    <w:p w:rsidR="00B523FF" w:rsidRPr="00BA2B04" w:rsidRDefault="00B523FF" w:rsidP="00B523FF">
      <w:pPr>
        <w:ind w:firstLine="0"/>
        <w:rPr>
          <w:sz w:val="24"/>
          <w:szCs w:val="24"/>
        </w:rPr>
      </w:pPr>
      <w:r w:rsidRPr="00BA2B04">
        <w:rPr>
          <w:sz w:val="24"/>
          <w:szCs w:val="24"/>
        </w:rPr>
        <w:t>Black or Black British African</w:t>
      </w:r>
    </w:p>
    <w:p w:rsidR="00B523FF" w:rsidRPr="00BA2B04" w:rsidRDefault="00B523FF" w:rsidP="00B523FF">
      <w:pPr>
        <w:ind w:firstLine="0"/>
        <w:rPr>
          <w:sz w:val="24"/>
          <w:szCs w:val="24"/>
        </w:rPr>
      </w:pPr>
      <w:r w:rsidRPr="00BA2B04">
        <w:rPr>
          <w:sz w:val="24"/>
          <w:szCs w:val="24"/>
        </w:rPr>
        <w:t>Black or Black British Caribbean</w:t>
      </w:r>
    </w:p>
    <w:p w:rsidR="00B523FF" w:rsidRPr="00BA2B04" w:rsidRDefault="00B523FF" w:rsidP="00B523FF">
      <w:pPr>
        <w:ind w:firstLine="0"/>
        <w:rPr>
          <w:sz w:val="24"/>
          <w:szCs w:val="24"/>
        </w:rPr>
      </w:pPr>
      <w:r w:rsidRPr="00BA2B04">
        <w:rPr>
          <w:sz w:val="24"/>
          <w:szCs w:val="24"/>
        </w:rPr>
        <w:t>Chinese</w:t>
      </w:r>
    </w:p>
    <w:p w:rsidR="00B523FF" w:rsidRPr="00BA2B04" w:rsidRDefault="00B523FF" w:rsidP="00B523FF">
      <w:pPr>
        <w:ind w:firstLine="0"/>
        <w:rPr>
          <w:sz w:val="24"/>
          <w:szCs w:val="24"/>
        </w:rPr>
      </w:pPr>
      <w:r w:rsidRPr="00BA2B04">
        <w:rPr>
          <w:sz w:val="24"/>
          <w:szCs w:val="24"/>
        </w:rPr>
        <w:t>Mixed Ethnicity</w:t>
      </w:r>
    </w:p>
    <w:p w:rsidR="00B523FF" w:rsidRPr="00BA2B04" w:rsidRDefault="00B523FF" w:rsidP="00B523FF">
      <w:pPr>
        <w:ind w:firstLine="0"/>
        <w:rPr>
          <w:sz w:val="24"/>
          <w:szCs w:val="24"/>
        </w:rPr>
      </w:pPr>
      <w:r w:rsidRPr="00BA2B04">
        <w:rPr>
          <w:sz w:val="24"/>
          <w:szCs w:val="24"/>
        </w:rPr>
        <w:t>Other Asian Background</w:t>
      </w:r>
    </w:p>
    <w:p w:rsidR="00B523FF" w:rsidRPr="00BA2B04" w:rsidRDefault="00B523FF" w:rsidP="00B523FF">
      <w:pPr>
        <w:ind w:firstLine="0"/>
        <w:rPr>
          <w:sz w:val="24"/>
          <w:szCs w:val="24"/>
        </w:rPr>
      </w:pPr>
      <w:r w:rsidRPr="00BA2B04">
        <w:rPr>
          <w:sz w:val="24"/>
          <w:szCs w:val="24"/>
        </w:rPr>
        <w:t>Other Black Background</w:t>
      </w:r>
    </w:p>
    <w:p w:rsidR="00B523FF" w:rsidRPr="00BA2B04" w:rsidRDefault="00B523FF" w:rsidP="00B523FF">
      <w:pPr>
        <w:ind w:firstLine="0"/>
        <w:rPr>
          <w:sz w:val="24"/>
          <w:szCs w:val="24"/>
        </w:rPr>
      </w:pPr>
      <w:r w:rsidRPr="00BA2B04">
        <w:rPr>
          <w:sz w:val="24"/>
          <w:szCs w:val="24"/>
        </w:rPr>
        <w:t>Other ethnic background</w:t>
      </w:r>
    </w:p>
    <w:p w:rsidR="00B523FF" w:rsidRPr="00BA2B04" w:rsidRDefault="00B523FF" w:rsidP="00B523FF">
      <w:pPr>
        <w:ind w:firstLine="0"/>
        <w:rPr>
          <w:sz w:val="24"/>
          <w:szCs w:val="24"/>
        </w:rPr>
      </w:pPr>
      <w:r w:rsidRPr="00BA2B04">
        <w:rPr>
          <w:sz w:val="24"/>
          <w:szCs w:val="24"/>
        </w:rPr>
        <w:t>White - British</w:t>
      </w:r>
    </w:p>
    <w:p w:rsidR="00B523FF" w:rsidRPr="00996BF1" w:rsidRDefault="00B523FF" w:rsidP="00B523FF">
      <w:pPr>
        <w:ind w:firstLine="0"/>
        <w:rPr>
          <w:sz w:val="24"/>
          <w:szCs w:val="24"/>
          <w:highlight w:val="yellow"/>
        </w:rPr>
      </w:pPr>
      <w:r w:rsidRPr="00BA2B04">
        <w:rPr>
          <w:sz w:val="24"/>
          <w:szCs w:val="24"/>
        </w:rPr>
        <w:t>White - Other</w:t>
      </w:r>
    </w:p>
    <w:p w:rsidR="00B523FF" w:rsidRDefault="00B523FF" w:rsidP="00B523FF">
      <w:pPr>
        <w:ind w:firstLine="0"/>
        <w:rPr>
          <w:sz w:val="24"/>
          <w:szCs w:val="24"/>
          <w:highlight w:val="yellow"/>
        </w:rPr>
      </w:pPr>
    </w:p>
    <w:p w:rsidR="00B523FF" w:rsidRPr="00381D1B" w:rsidRDefault="00B523FF" w:rsidP="00B523FF">
      <w:pPr>
        <w:pStyle w:val="Heading2"/>
        <w:rPr>
          <w:b/>
        </w:rPr>
      </w:pPr>
      <w:bookmarkStart w:id="72" w:name="_Toc401575386"/>
      <w:r w:rsidRPr="00381D1B">
        <w:rPr>
          <w:b/>
        </w:rPr>
        <w:t>Science, Technology, Engineering, Mathematics and Medicine Departments (STEMM)</w:t>
      </w:r>
      <w:bookmarkEnd w:id="72"/>
    </w:p>
    <w:p w:rsidR="00B523FF" w:rsidRPr="00D965F4" w:rsidRDefault="00B523FF" w:rsidP="00B523FF">
      <w:pPr>
        <w:ind w:firstLine="0"/>
        <w:rPr>
          <w:sz w:val="24"/>
          <w:szCs w:val="24"/>
        </w:rPr>
      </w:pPr>
      <w:r w:rsidRPr="00D965F4">
        <w:rPr>
          <w:sz w:val="24"/>
          <w:szCs w:val="24"/>
        </w:rPr>
        <w:t>This report uses a generic classification of academic departments from the HESA staff record. This is in line with STEMM departments covered by the Athena SWAN Charter (www.athenaswan.org.uk). At the University of Cambridge this includes employees in the following Schools: Biological Sciences, Clinical Medicine, Physical Sciences and Technology (with the exception of the Judge Business School and affiliated Centres).</w:t>
      </w:r>
    </w:p>
    <w:p w:rsidR="00B523FF" w:rsidRPr="00D965F4" w:rsidRDefault="00B523FF" w:rsidP="00B523FF">
      <w:pPr>
        <w:ind w:firstLine="0"/>
        <w:rPr>
          <w:sz w:val="24"/>
          <w:szCs w:val="24"/>
        </w:rPr>
      </w:pPr>
    </w:p>
    <w:p w:rsidR="00B523FF" w:rsidRPr="00381D1B" w:rsidRDefault="00B523FF" w:rsidP="00B523FF">
      <w:pPr>
        <w:pStyle w:val="Heading2"/>
        <w:rPr>
          <w:b/>
        </w:rPr>
      </w:pPr>
      <w:bookmarkStart w:id="73" w:name="_Toc401575387"/>
      <w:r w:rsidRPr="00381D1B">
        <w:rPr>
          <w:b/>
        </w:rPr>
        <w:t>Staff at the University of Cambridge</w:t>
      </w:r>
      <w:bookmarkEnd w:id="73"/>
    </w:p>
    <w:p w:rsidR="00B523FF" w:rsidRDefault="00B523FF" w:rsidP="00B523FF">
      <w:pPr>
        <w:ind w:firstLine="0"/>
        <w:rPr>
          <w:sz w:val="24"/>
          <w:szCs w:val="24"/>
        </w:rPr>
      </w:pPr>
      <w:r w:rsidRPr="00D965F4">
        <w:rPr>
          <w:sz w:val="24"/>
          <w:szCs w:val="24"/>
        </w:rPr>
        <w:t>Any person who holds a University office or post and has a University contract of employment is considered to be an employee.</w:t>
      </w:r>
      <w:r>
        <w:rPr>
          <w:sz w:val="24"/>
          <w:szCs w:val="24"/>
        </w:rPr>
        <w:t xml:space="preserve">  </w:t>
      </w:r>
      <w:r w:rsidRPr="00D965F4">
        <w:rPr>
          <w:sz w:val="24"/>
          <w:szCs w:val="24"/>
        </w:rPr>
        <w:t xml:space="preserve">Employees are categorised as Academic, Academic-related, Assistant or Researcher on the basis of the main duties of their post. </w:t>
      </w:r>
    </w:p>
    <w:p w:rsidR="00B523FF" w:rsidRPr="00D965F4" w:rsidRDefault="00B523FF" w:rsidP="00B523FF">
      <w:pPr>
        <w:ind w:firstLine="0"/>
        <w:rPr>
          <w:sz w:val="24"/>
          <w:szCs w:val="24"/>
        </w:rPr>
      </w:pPr>
    </w:p>
    <w:p w:rsidR="00B523FF" w:rsidRDefault="00B523FF" w:rsidP="00B523FF">
      <w:pPr>
        <w:ind w:firstLine="0"/>
        <w:rPr>
          <w:sz w:val="24"/>
          <w:szCs w:val="24"/>
        </w:rPr>
      </w:pPr>
      <w:r w:rsidRPr="00D965F4">
        <w:rPr>
          <w:sz w:val="24"/>
          <w:szCs w:val="24"/>
        </w:rPr>
        <w:t xml:space="preserve">Full-time </w:t>
      </w:r>
      <w:proofErr w:type="gramStart"/>
      <w:r w:rsidRPr="00D965F4">
        <w:rPr>
          <w:sz w:val="24"/>
          <w:szCs w:val="24"/>
        </w:rPr>
        <w:t>staff are</w:t>
      </w:r>
      <w:proofErr w:type="gramEnd"/>
      <w:r w:rsidRPr="00D965F4">
        <w:rPr>
          <w:sz w:val="24"/>
          <w:szCs w:val="24"/>
        </w:rPr>
        <w:t xml:space="preserve"> defined for the purpose of this report as being employed at 1 FTE (full-time equivalent). Part-time </w:t>
      </w:r>
      <w:proofErr w:type="gramStart"/>
      <w:r w:rsidRPr="00D965F4">
        <w:rPr>
          <w:sz w:val="24"/>
          <w:szCs w:val="24"/>
        </w:rPr>
        <w:t>staff are</w:t>
      </w:r>
      <w:proofErr w:type="gramEnd"/>
      <w:r w:rsidRPr="00D965F4">
        <w:rPr>
          <w:sz w:val="24"/>
          <w:szCs w:val="24"/>
        </w:rPr>
        <w:t xml:space="preserve"> defined as being employed at less than 1 FTE. </w:t>
      </w:r>
    </w:p>
    <w:p w:rsidR="00B523FF" w:rsidRPr="00D965F4" w:rsidRDefault="00B523FF" w:rsidP="00B523FF">
      <w:pPr>
        <w:ind w:firstLine="0"/>
        <w:rPr>
          <w:sz w:val="24"/>
          <w:szCs w:val="24"/>
        </w:rPr>
      </w:pPr>
    </w:p>
    <w:p w:rsidR="00B523FF" w:rsidRPr="00D965F4" w:rsidRDefault="00B523FF" w:rsidP="00B523FF">
      <w:pPr>
        <w:ind w:firstLine="0"/>
        <w:rPr>
          <w:sz w:val="24"/>
          <w:szCs w:val="24"/>
        </w:rPr>
      </w:pPr>
      <w:r w:rsidRPr="00D965F4">
        <w:rPr>
          <w:sz w:val="24"/>
          <w:szCs w:val="24"/>
        </w:rPr>
        <w:lastRenderedPageBreak/>
        <w:t xml:space="preserve">Established Academic and Academic-related </w:t>
      </w:r>
      <w:proofErr w:type="gramStart"/>
      <w:r w:rsidRPr="00D965F4">
        <w:rPr>
          <w:sz w:val="24"/>
          <w:szCs w:val="24"/>
        </w:rPr>
        <w:t>staff hold</w:t>
      </w:r>
      <w:proofErr w:type="gramEnd"/>
      <w:r w:rsidRPr="00D965F4">
        <w:rPr>
          <w:sz w:val="24"/>
          <w:szCs w:val="24"/>
        </w:rPr>
        <w:t xml:space="preserve"> University Offices as defined in the Statutes and Ordinances of the University of Cambridge</w:t>
      </w:r>
      <w:r w:rsidRPr="00D965F4">
        <w:rPr>
          <w:rStyle w:val="FootnoteReference"/>
          <w:sz w:val="24"/>
          <w:szCs w:val="24"/>
        </w:rPr>
        <w:footnoteReference w:id="27"/>
      </w:r>
      <w:r w:rsidRPr="00D965F4">
        <w:rPr>
          <w:sz w:val="24"/>
          <w:szCs w:val="24"/>
        </w:rPr>
        <w:t xml:space="preserve">.  Unestablished </w:t>
      </w:r>
      <w:proofErr w:type="gramStart"/>
      <w:r w:rsidRPr="00D965F4">
        <w:rPr>
          <w:sz w:val="24"/>
          <w:szCs w:val="24"/>
        </w:rPr>
        <w:t>staff are</w:t>
      </w:r>
      <w:proofErr w:type="gramEnd"/>
      <w:r w:rsidRPr="00D965F4">
        <w:rPr>
          <w:sz w:val="24"/>
          <w:szCs w:val="24"/>
        </w:rPr>
        <w:t xml:space="preserve"> those Academic and Academic-related staff who do not hold University Offices or are in Research positions. </w:t>
      </w:r>
    </w:p>
    <w:p w:rsidR="00B523FF" w:rsidRDefault="00B523FF" w:rsidP="00B523FF">
      <w:pPr>
        <w:ind w:firstLine="0"/>
        <w:rPr>
          <w:sz w:val="24"/>
          <w:szCs w:val="24"/>
        </w:rPr>
      </w:pPr>
      <w:r w:rsidRPr="00D965F4">
        <w:rPr>
          <w:sz w:val="24"/>
          <w:szCs w:val="24"/>
        </w:rPr>
        <w:t xml:space="preserve">Academic roles are further disaggregated into Academic staff type, namely University Lecturer, Senior </w:t>
      </w:r>
      <w:r>
        <w:rPr>
          <w:sz w:val="24"/>
          <w:szCs w:val="24"/>
        </w:rPr>
        <w:t>Lecturer, Reader and Professor.</w:t>
      </w:r>
    </w:p>
    <w:p w:rsidR="00B523FF" w:rsidRPr="00D965F4" w:rsidRDefault="00B523FF" w:rsidP="00B523FF">
      <w:pPr>
        <w:ind w:firstLine="0"/>
        <w:rPr>
          <w:sz w:val="24"/>
          <w:szCs w:val="24"/>
        </w:rPr>
      </w:pPr>
    </w:p>
    <w:p w:rsidR="00B523FF" w:rsidRDefault="00B523FF" w:rsidP="00B523FF">
      <w:pPr>
        <w:ind w:firstLine="0"/>
        <w:rPr>
          <w:sz w:val="24"/>
          <w:szCs w:val="24"/>
        </w:rPr>
      </w:pPr>
      <w:r w:rsidRPr="00D965F4">
        <w:rPr>
          <w:sz w:val="24"/>
          <w:szCs w:val="24"/>
        </w:rPr>
        <w:t>Each post is assigned to a specific grade within the grading structure 1–12</w:t>
      </w:r>
      <w:r w:rsidRPr="00D965F4">
        <w:rPr>
          <w:rStyle w:val="FootnoteReference"/>
          <w:sz w:val="24"/>
          <w:szCs w:val="24"/>
        </w:rPr>
        <w:footnoteReference w:id="28"/>
      </w:r>
      <w:r w:rsidRPr="00D965F4">
        <w:rPr>
          <w:sz w:val="24"/>
          <w:szCs w:val="24"/>
        </w:rPr>
        <w:t xml:space="preserve">. The grades overlap with staff groups so members of different staff groups can be employed on the same grade, but with different core roles and responsibilities. </w:t>
      </w:r>
    </w:p>
    <w:p w:rsidR="00B523FF" w:rsidRPr="00D965F4" w:rsidRDefault="00B523FF" w:rsidP="00B523FF">
      <w:pPr>
        <w:ind w:firstLine="0"/>
        <w:rPr>
          <w:sz w:val="24"/>
          <w:szCs w:val="24"/>
        </w:rPr>
      </w:pPr>
    </w:p>
    <w:p w:rsidR="00B523FF" w:rsidRPr="00D965F4" w:rsidRDefault="00B523FF" w:rsidP="00B523FF">
      <w:pPr>
        <w:ind w:firstLine="0"/>
        <w:rPr>
          <w:sz w:val="24"/>
          <w:szCs w:val="24"/>
        </w:rPr>
      </w:pPr>
      <w:r w:rsidRPr="00D965F4">
        <w:rPr>
          <w:sz w:val="24"/>
          <w:szCs w:val="24"/>
        </w:rPr>
        <w:t>A number of University roles have been grouped into the category ‘Other’ as they have not been assigned to a specific grade. This category includes staff employed in some Clinical roles, as Marie Curie Fellows, Special Appointments or those with blank records</w:t>
      </w:r>
      <w:r w:rsidRPr="00D965F4">
        <w:rPr>
          <w:rStyle w:val="FootnoteReference"/>
          <w:sz w:val="24"/>
          <w:szCs w:val="24"/>
        </w:rPr>
        <w:footnoteReference w:id="29"/>
      </w:r>
      <w:r w:rsidRPr="00D965F4">
        <w:rPr>
          <w:sz w:val="24"/>
          <w:szCs w:val="24"/>
        </w:rPr>
        <w:t xml:space="preserve">. </w:t>
      </w:r>
    </w:p>
    <w:p w:rsidR="00B523FF" w:rsidRPr="00D965F4" w:rsidRDefault="00B523FF" w:rsidP="00B523FF">
      <w:pPr>
        <w:ind w:firstLine="0"/>
        <w:rPr>
          <w:sz w:val="24"/>
          <w:szCs w:val="24"/>
        </w:rPr>
      </w:pPr>
    </w:p>
    <w:p w:rsidR="00B523FF" w:rsidRPr="00D965F4" w:rsidRDefault="00B523FF" w:rsidP="00B523FF">
      <w:pPr>
        <w:ind w:firstLine="0"/>
        <w:rPr>
          <w:sz w:val="24"/>
          <w:szCs w:val="24"/>
        </w:rPr>
      </w:pPr>
      <w:r w:rsidRPr="00D965F4">
        <w:rPr>
          <w:sz w:val="24"/>
          <w:szCs w:val="24"/>
        </w:rPr>
        <w:t xml:space="preserve">Staff are defined as having either permanent (open-ended) or fixed contracts. Those on fixed contracts are employed for a fixed period or have an end date on their contract of employment. </w:t>
      </w:r>
    </w:p>
    <w:p w:rsidR="00B523FF" w:rsidRPr="00996BF1" w:rsidRDefault="00B523FF" w:rsidP="00B523FF">
      <w:pPr>
        <w:ind w:firstLine="0"/>
        <w:rPr>
          <w:sz w:val="24"/>
          <w:szCs w:val="24"/>
          <w:highlight w:val="yellow"/>
        </w:rPr>
      </w:pPr>
    </w:p>
    <w:p w:rsidR="00B523FF" w:rsidRPr="00381D1B" w:rsidRDefault="00B523FF" w:rsidP="00B523FF">
      <w:pPr>
        <w:pStyle w:val="Heading2"/>
        <w:rPr>
          <w:b/>
        </w:rPr>
      </w:pPr>
      <w:bookmarkStart w:id="74" w:name="_Toc401575388"/>
      <w:r w:rsidRPr="00381D1B">
        <w:rPr>
          <w:b/>
        </w:rPr>
        <w:t>Benchmarking</w:t>
      </w:r>
      <w:bookmarkEnd w:id="74"/>
    </w:p>
    <w:p w:rsidR="00B523FF" w:rsidRPr="00C066D1" w:rsidRDefault="00B523FF" w:rsidP="00B523FF">
      <w:pPr>
        <w:ind w:firstLine="0"/>
        <w:rPr>
          <w:sz w:val="24"/>
          <w:szCs w:val="24"/>
        </w:rPr>
      </w:pPr>
    </w:p>
    <w:p w:rsidR="00B523FF" w:rsidRPr="00C066D1" w:rsidRDefault="00B523FF" w:rsidP="00B523FF">
      <w:pPr>
        <w:ind w:firstLine="0"/>
        <w:rPr>
          <w:sz w:val="24"/>
          <w:szCs w:val="24"/>
        </w:rPr>
      </w:pPr>
      <w:r w:rsidRPr="00C066D1">
        <w:rPr>
          <w:sz w:val="24"/>
          <w:szCs w:val="24"/>
        </w:rPr>
        <w:t>Where useful, data from the other Russell Group universities has been provided for benchmarking purposes. These data have been sourced from HESA via the Higher Education Information Database for Institutions (HEIDI) online tool.  The latest available information was for 2012-13 year.</w:t>
      </w:r>
    </w:p>
    <w:p w:rsidR="00B523FF" w:rsidRPr="00996BF1" w:rsidRDefault="00B523FF" w:rsidP="00B523FF">
      <w:pPr>
        <w:ind w:firstLine="0"/>
        <w:rPr>
          <w:sz w:val="24"/>
          <w:szCs w:val="24"/>
          <w:highlight w:val="yellow"/>
        </w:rPr>
      </w:pPr>
    </w:p>
    <w:p w:rsidR="00B523FF" w:rsidRPr="007D5E58" w:rsidRDefault="00B523FF" w:rsidP="00B523FF">
      <w:pPr>
        <w:pStyle w:val="Heading2"/>
        <w:rPr>
          <w:b/>
        </w:rPr>
      </w:pPr>
      <w:bookmarkStart w:id="75" w:name="_Toc401575389"/>
      <w:r w:rsidRPr="007D5E58">
        <w:rPr>
          <w:b/>
        </w:rPr>
        <w:t>Students - Definitions and notes</w:t>
      </w:r>
      <w:bookmarkEnd w:id="75"/>
    </w:p>
    <w:p w:rsidR="00B523FF" w:rsidRPr="00996BF1" w:rsidRDefault="00B523FF" w:rsidP="00B523FF">
      <w:pPr>
        <w:ind w:firstLine="0"/>
        <w:rPr>
          <w:sz w:val="24"/>
          <w:szCs w:val="24"/>
          <w:highlight w:val="yellow"/>
        </w:rPr>
      </w:pPr>
    </w:p>
    <w:p w:rsidR="00B523FF" w:rsidRPr="00BA2B04" w:rsidRDefault="00B523FF" w:rsidP="00B523FF">
      <w:pPr>
        <w:ind w:firstLine="0"/>
        <w:rPr>
          <w:sz w:val="24"/>
          <w:szCs w:val="24"/>
        </w:rPr>
      </w:pPr>
      <w:r w:rsidRPr="00BA2B04">
        <w:rPr>
          <w:sz w:val="24"/>
          <w:szCs w:val="24"/>
        </w:rPr>
        <w:t>The enclosed student figures are a summary of information sourced from reports and publications produced by the Student Statistics Office, Graduate Admissions and Cambridge Admissions Office. Further detailed information for all students is available from these sections. The information has been presented in line with the requirements of the Equality Act 2010 public sector equality duty which obliges higher education institutions to publish information about the people affected by its policies and practices; in this case students. No significance testing has been performed due to the low numbers of students in many of the protected groups.</w:t>
      </w:r>
    </w:p>
    <w:p w:rsidR="00B523FF" w:rsidRPr="00996BF1" w:rsidRDefault="00B523FF" w:rsidP="00B523FF">
      <w:pPr>
        <w:ind w:firstLine="0"/>
        <w:rPr>
          <w:sz w:val="24"/>
          <w:szCs w:val="24"/>
          <w:highlight w:val="yellow"/>
        </w:rPr>
      </w:pPr>
    </w:p>
    <w:p w:rsidR="00B523FF" w:rsidRPr="007D5E58" w:rsidRDefault="00B523FF" w:rsidP="00B523FF">
      <w:pPr>
        <w:ind w:firstLine="0"/>
        <w:rPr>
          <w:sz w:val="24"/>
          <w:szCs w:val="24"/>
        </w:rPr>
      </w:pPr>
      <w:r w:rsidRPr="007D5E58">
        <w:rPr>
          <w:sz w:val="24"/>
          <w:szCs w:val="24"/>
        </w:rPr>
        <w:t>All student figures are the latest available and in most cases are for the academic year 201</w:t>
      </w:r>
      <w:r w:rsidR="007D5E58" w:rsidRPr="007D5E58">
        <w:rPr>
          <w:sz w:val="24"/>
          <w:szCs w:val="24"/>
        </w:rPr>
        <w:t>3</w:t>
      </w:r>
      <w:r w:rsidRPr="007D5E58">
        <w:rPr>
          <w:sz w:val="24"/>
          <w:szCs w:val="24"/>
        </w:rPr>
        <w:t>-1</w:t>
      </w:r>
      <w:r w:rsidR="007D5E58" w:rsidRPr="007D5E58">
        <w:rPr>
          <w:sz w:val="24"/>
          <w:szCs w:val="24"/>
        </w:rPr>
        <w:t>4</w:t>
      </w:r>
      <w:r w:rsidRPr="007D5E58">
        <w:rPr>
          <w:sz w:val="24"/>
          <w:szCs w:val="24"/>
        </w:rPr>
        <w:t xml:space="preserve"> unless otherwise specified. Information regarding postgraduate admissions is reported from 201</w:t>
      </w:r>
      <w:r w:rsidR="007D5E58" w:rsidRPr="007D5E58">
        <w:rPr>
          <w:sz w:val="24"/>
          <w:szCs w:val="24"/>
        </w:rPr>
        <w:t>3</w:t>
      </w:r>
      <w:r w:rsidRPr="007D5E58">
        <w:rPr>
          <w:sz w:val="24"/>
          <w:szCs w:val="24"/>
        </w:rPr>
        <w:t>-1</w:t>
      </w:r>
      <w:r w:rsidR="007D5E58" w:rsidRPr="007D5E58">
        <w:rPr>
          <w:sz w:val="24"/>
          <w:szCs w:val="24"/>
        </w:rPr>
        <w:t>4</w:t>
      </w:r>
      <w:r w:rsidRPr="007D5E58">
        <w:rPr>
          <w:sz w:val="24"/>
          <w:szCs w:val="24"/>
        </w:rPr>
        <w:t>.</w:t>
      </w:r>
    </w:p>
    <w:p w:rsidR="00B523FF" w:rsidRPr="00996BF1" w:rsidRDefault="00B523FF" w:rsidP="00B523FF">
      <w:pPr>
        <w:ind w:firstLine="0"/>
        <w:rPr>
          <w:sz w:val="24"/>
          <w:szCs w:val="24"/>
          <w:highlight w:val="yellow"/>
        </w:rPr>
      </w:pPr>
    </w:p>
    <w:p w:rsidR="00B523FF" w:rsidRPr="00BA2B04" w:rsidRDefault="00B523FF" w:rsidP="00B523FF">
      <w:pPr>
        <w:ind w:firstLine="0"/>
        <w:rPr>
          <w:sz w:val="24"/>
          <w:szCs w:val="24"/>
        </w:rPr>
      </w:pPr>
      <w:r w:rsidRPr="00BA2B04">
        <w:rPr>
          <w:sz w:val="24"/>
          <w:szCs w:val="24"/>
        </w:rPr>
        <w:t xml:space="preserve">For full information and definitions on student figures please refer to the </w:t>
      </w:r>
      <w:proofErr w:type="spellStart"/>
      <w:r w:rsidRPr="00BA2B04">
        <w:rPr>
          <w:sz w:val="24"/>
          <w:szCs w:val="24"/>
        </w:rPr>
        <w:t>CamDATA</w:t>
      </w:r>
      <w:proofErr w:type="spellEnd"/>
      <w:r w:rsidRPr="00BA2B04">
        <w:rPr>
          <w:sz w:val="24"/>
          <w:szCs w:val="24"/>
        </w:rPr>
        <w:t xml:space="preserve"> website: www.admin.cam.ac.uk/univ/camdata/.</w:t>
      </w:r>
    </w:p>
    <w:p w:rsidR="00B523FF" w:rsidRPr="00BA2B04" w:rsidRDefault="00B523FF" w:rsidP="00B523FF">
      <w:pPr>
        <w:ind w:firstLine="0"/>
        <w:rPr>
          <w:sz w:val="24"/>
          <w:szCs w:val="24"/>
        </w:rPr>
      </w:pPr>
    </w:p>
    <w:p w:rsidR="00B523FF" w:rsidRPr="00996BF1" w:rsidRDefault="00B523FF" w:rsidP="00B523FF">
      <w:pPr>
        <w:ind w:firstLine="0"/>
        <w:rPr>
          <w:sz w:val="24"/>
          <w:szCs w:val="24"/>
        </w:rPr>
      </w:pPr>
      <w:r w:rsidRPr="00BA2B04">
        <w:rPr>
          <w:sz w:val="24"/>
          <w:szCs w:val="24"/>
        </w:rPr>
        <w:t>Please note that due to rounding to one decimal place, some total percentages may not equal 100%.</w:t>
      </w:r>
      <w:r w:rsidRPr="00996BF1">
        <w:rPr>
          <w:sz w:val="24"/>
          <w:szCs w:val="24"/>
        </w:rPr>
        <w:t xml:space="preserve"> </w:t>
      </w:r>
    </w:p>
    <w:p w:rsidR="00B523FF" w:rsidRPr="00B523FF" w:rsidRDefault="00B523FF" w:rsidP="00B523FF">
      <w:pPr>
        <w:pStyle w:val="Heading1"/>
        <w:rPr>
          <w:sz w:val="28"/>
          <w:szCs w:val="28"/>
        </w:rPr>
      </w:pPr>
      <w:bookmarkStart w:id="76" w:name="_Toc401575390"/>
      <w:r w:rsidRPr="00B523FF">
        <w:rPr>
          <w:sz w:val="28"/>
          <w:szCs w:val="28"/>
        </w:rPr>
        <w:lastRenderedPageBreak/>
        <w:t>Appendix 2</w:t>
      </w:r>
      <w:r w:rsidR="00A01AB9">
        <w:rPr>
          <w:sz w:val="28"/>
          <w:szCs w:val="28"/>
        </w:rPr>
        <w:t xml:space="preserve"> – Letter to Times Higher Education</w:t>
      </w:r>
      <w:bookmarkEnd w:id="76"/>
    </w:p>
    <w:p w:rsidR="00B523FF" w:rsidRDefault="00B523FF" w:rsidP="00B523FF">
      <w:pPr>
        <w:pStyle w:val="Heading1"/>
      </w:pPr>
      <w:bookmarkStart w:id="77" w:name="_Toc401575391"/>
      <w:r>
        <w:t>Promoting gender balance</w:t>
      </w:r>
      <w:bookmarkEnd w:id="77"/>
    </w:p>
    <w:p w:rsidR="00B523FF" w:rsidRPr="00EA5119" w:rsidRDefault="00B523FF" w:rsidP="00EA5119">
      <w:pPr>
        <w:pStyle w:val="byline"/>
        <w:spacing w:after="0" w:afterAutospacing="0"/>
        <w:rPr>
          <w:rFonts w:asciiTheme="minorHAnsi" w:hAnsiTheme="minorHAnsi"/>
        </w:rPr>
      </w:pPr>
      <w:r w:rsidRPr="00EA5119">
        <w:rPr>
          <w:rStyle w:val="Date1"/>
          <w:rFonts w:asciiTheme="minorHAnsi" w:eastAsiaTheme="majorEastAsia" w:hAnsiTheme="minorHAnsi"/>
        </w:rPr>
        <w:t>20 February 2014</w:t>
      </w:r>
    </w:p>
    <w:p w:rsidR="00B523FF" w:rsidRPr="00A01AB9" w:rsidRDefault="00B523FF" w:rsidP="00B523FF">
      <w:pPr>
        <w:pStyle w:val="NormalWeb"/>
        <w:ind w:firstLine="0"/>
        <w:rPr>
          <w:i/>
          <w:sz w:val="24"/>
          <w:szCs w:val="24"/>
        </w:rPr>
      </w:pPr>
      <w:r w:rsidRPr="00A01AB9">
        <w:rPr>
          <w:i/>
          <w:sz w:val="24"/>
          <w:szCs w:val="24"/>
        </w:rPr>
        <w:t>In just over two weeks’ time, many organisations, charities and individuals will be taking part in International Women’s Day, which this year takes as its theme “inspiring change”, encouraging “advocacy for women’s advancement everywhere and in every way”. We think now is a good time for the higher education sector to celebrate the progress that has been made in advancing gender equality, but also to ask what more can be done, and how.</w:t>
      </w:r>
    </w:p>
    <w:p w:rsidR="00B523FF" w:rsidRPr="00A01AB9" w:rsidRDefault="00B523FF" w:rsidP="00B523FF">
      <w:pPr>
        <w:pStyle w:val="NormalWeb"/>
        <w:ind w:firstLine="0"/>
        <w:rPr>
          <w:i/>
          <w:sz w:val="24"/>
          <w:szCs w:val="24"/>
        </w:rPr>
      </w:pPr>
      <w:r w:rsidRPr="00A01AB9">
        <w:rPr>
          <w:i/>
          <w:sz w:val="24"/>
          <w:szCs w:val="24"/>
        </w:rPr>
        <w:t>“We” are a group of staff at the University of Cambridge who believe that more should be done to broaden how we judge and value success in UK higher education. Conventional success in academia, for example a promotion from reader to professor, can often seem as if it is framed by quite rigid outcomes – a paper published in a leading journal, or the size and frequency of research grants – at the expense of other skill sets and attributes. Those engaged in teaching, administration and public engagement, to name just three vital activities, can be pushed to the margins when specific, quantifiable outcomes take all.</w:t>
      </w:r>
    </w:p>
    <w:p w:rsidR="00B523FF" w:rsidRPr="00A01AB9" w:rsidRDefault="00B523FF" w:rsidP="00B523FF">
      <w:pPr>
        <w:pStyle w:val="NormalWeb"/>
        <w:ind w:firstLine="0"/>
        <w:rPr>
          <w:i/>
          <w:sz w:val="24"/>
          <w:szCs w:val="24"/>
        </w:rPr>
      </w:pPr>
      <w:r w:rsidRPr="00A01AB9">
        <w:rPr>
          <w:i/>
          <w:sz w:val="24"/>
          <w:szCs w:val="24"/>
        </w:rPr>
        <w:t>Of course, assessment and ranking play an important role in the responsible and regulated pursuit of academic excellence. But problems arise if certain criteria for success benefit men more than they do women.</w:t>
      </w:r>
    </w:p>
    <w:p w:rsidR="00B523FF" w:rsidRPr="00A01AB9" w:rsidRDefault="00B523FF" w:rsidP="00B523FF">
      <w:pPr>
        <w:pStyle w:val="NormalWeb"/>
        <w:ind w:firstLine="0"/>
        <w:rPr>
          <w:i/>
          <w:sz w:val="24"/>
          <w:szCs w:val="24"/>
        </w:rPr>
      </w:pPr>
      <w:r w:rsidRPr="00A01AB9">
        <w:rPr>
          <w:i/>
          <w:sz w:val="24"/>
          <w:szCs w:val="24"/>
        </w:rPr>
        <w:t>Our experience at Cambridge, where we recently surveyed 126 female academics and administrators on this subject, suggests that this is indeed the case. Women value a broader spectrum of work-based competencies that do not flourish easily under the current system. And a system that inhibits the progression of talented academics and administrators is one that limits universities’ ability to contribute positively to society.</w:t>
      </w:r>
    </w:p>
    <w:p w:rsidR="00B523FF" w:rsidRPr="00A01AB9" w:rsidRDefault="00B523FF" w:rsidP="00B523FF">
      <w:pPr>
        <w:pStyle w:val="NormalWeb"/>
        <w:ind w:firstLine="0"/>
        <w:rPr>
          <w:i/>
          <w:sz w:val="24"/>
          <w:szCs w:val="24"/>
        </w:rPr>
      </w:pPr>
      <w:r w:rsidRPr="00A01AB9">
        <w:rPr>
          <w:i/>
          <w:sz w:val="24"/>
          <w:szCs w:val="24"/>
        </w:rPr>
        <w:t>We acknowledge that Cambridge, like other institutions up and down the country, must do more in this regard, and we are committed to making progress in addressing our own gender imbalances. But how else can we improve? First, we would like to stimulate debate on these issues so that gender progression remains a priority at the highest levels within the sector. Second, we think there are opportunities to build into asses</w:t>
      </w:r>
      <w:r w:rsidR="00472598">
        <w:rPr>
          <w:i/>
          <w:sz w:val="24"/>
          <w:szCs w:val="24"/>
        </w:rPr>
        <w:t>sment processes – for example, a</w:t>
      </w:r>
      <w:r w:rsidRPr="00A01AB9">
        <w:rPr>
          <w:i/>
          <w:sz w:val="24"/>
          <w:szCs w:val="24"/>
        </w:rPr>
        <w:t>cademic promotions – additional factors that reward contribution from a much wider range of personality and achievement types.</w:t>
      </w:r>
    </w:p>
    <w:p w:rsidR="00B523FF" w:rsidRPr="00A01AB9" w:rsidRDefault="00B523FF" w:rsidP="00B523FF">
      <w:pPr>
        <w:pStyle w:val="NormalWeb"/>
        <w:ind w:firstLine="0"/>
        <w:rPr>
          <w:i/>
          <w:sz w:val="24"/>
          <w:szCs w:val="24"/>
        </w:rPr>
      </w:pPr>
      <w:r w:rsidRPr="00A01AB9">
        <w:rPr>
          <w:i/>
          <w:sz w:val="24"/>
          <w:szCs w:val="24"/>
        </w:rPr>
        <w:t>A broader definition of success within the sector will bring benefits not only to women – and indeed men – working in universities, but also to society as a whole.</w:t>
      </w:r>
    </w:p>
    <w:p w:rsidR="00B523FF" w:rsidRPr="00EA5119" w:rsidRDefault="00B523FF" w:rsidP="00EA5119">
      <w:pPr>
        <w:pStyle w:val="NormalWeb"/>
        <w:spacing w:after="0"/>
        <w:ind w:firstLine="0"/>
        <w:rPr>
          <w:sz w:val="24"/>
          <w:szCs w:val="24"/>
        </w:rPr>
      </w:pPr>
      <w:r w:rsidRPr="00EA5119">
        <w:rPr>
          <w:rStyle w:val="Strong"/>
          <w:sz w:val="24"/>
          <w:szCs w:val="24"/>
        </w:rPr>
        <w:t>Jeremy Sanders, pro-vice-chancellor for institutional affairs, University of Cambridge</w:t>
      </w:r>
      <w:r w:rsidRPr="00EA5119">
        <w:rPr>
          <w:b/>
          <w:bCs/>
          <w:sz w:val="24"/>
          <w:szCs w:val="24"/>
        </w:rPr>
        <w:br/>
      </w:r>
      <w:r w:rsidRPr="00EA5119">
        <w:rPr>
          <w:rStyle w:val="Strong"/>
          <w:sz w:val="24"/>
          <w:szCs w:val="24"/>
        </w:rPr>
        <w:t>Dame Athene Donald, University of Cambridge gender equality champion</w:t>
      </w:r>
      <w:r w:rsidRPr="00EA5119">
        <w:rPr>
          <w:b/>
          <w:bCs/>
          <w:sz w:val="24"/>
          <w:szCs w:val="24"/>
        </w:rPr>
        <w:br/>
      </w:r>
      <w:r w:rsidRPr="00EA5119">
        <w:rPr>
          <w:rStyle w:val="Strong"/>
          <w:sz w:val="24"/>
          <w:szCs w:val="24"/>
        </w:rPr>
        <w:t>Nicola Padfield, master, Fitzwilliam College</w:t>
      </w:r>
      <w:r w:rsidRPr="00EA5119">
        <w:rPr>
          <w:b/>
          <w:bCs/>
          <w:sz w:val="24"/>
          <w:szCs w:val="24"/>
        </w:rPr>
        <w:br/>
      </w:r>
      <w:r w:rsidRPr="00EA5119">
        <w:rPr>
          <w:rStyle w:val="Strong"/>
          <w:sz w:val="24"/>
          <w:szCs w:val="24"/>
        </w:rPr>
        <w:t xml:space="preserve">Richard </w:t>
      </w:r>
      <w:proofErr w:type="spellStart"/>
      <w:r w:rsidRPr="00EA5119">
        <w:rPr>
          <w:rStyle w:val="Strong"/>
          <w:sz w:val="24"/>
          <w:szCs w:val="24"/>
        </w:rPr>
        <w:t>Prager</w:t>
      </w:r>
      <w:proofErr w:type="spellEnd"/>
      <w:r w:rsidRPr="00EA5119">
        <w:rPr>
          <w:rStyle w:val="Strong"/>
          <w:sz w:val="24"/>
          <w:szCs w:val="24"/>
        </w:rPr>
        <w:t>, head, School of Technology</w:t>
      </w:r>
      <w:r w:rsidRPr="00EA5119">
        <w:rPr>
          <w:b/>
          <w:bCs/>
          <w:sz w:val="24"/>
          <w:szCs w:val="24"/>
        </w:rPr>
        <w:br/>
      </w:r>
      <w:r w:rsidRPr="00EA5119">
        <w:rPr>
          <w:rStyle w:val="Strong"/>
          <w:sz w:val="24"/>
          <w:szCs w:val="24"/>
        </w:rPr>
        <w:t>Hannah Critchlow, department of pathology</w:t>
      </w:r>
      <w:r w:rsidRPr="00EA5119">
        <w:rPr>
          <w:b/>
          <w:bCs/>
          <w:sz w:val="24"/>
          <w:szCs w:val="24"/>
        </w:rPr>
        <w:br/>
      </w:r>
      <w:r w:rsidRPr="00EA5119">
        <w:rPr>
          <w:rStyle w:val="Strong"/>
          <w:sz w:val="24"/>
          <w:szCs w:val="24"/>
        </w:rPr>
        <w:t>Kusam Leal, School of the Physical Sciences</w:t>
      </w:r>
      <w:r w:rsidRPr="00EA5119">
        <w:rPr>
          <w:b/>
          <w:bCs/>
          <w:sz w:val="24"/>
          <w:szCs w:val="24"/>
        </w:rPr>
        <w:br/>
      </w:r>
      <w:r w:rsidRPr="00EA5119">
        <w:rPr>
          <w:rStyle w:val="Strong"/>
          <w:sz w:val="24"/>
          <w:szCs w:val="24"/>
        </w:rPr>
        <w:t>Madeleine Arnot, Faculty of Education</w:t>
      </w:r>
      <w:r w:rsidRPr="00EA5119">
        <w:rPr>
          <w:b/>
          <w:bCs/>
          <w:sz w:val="24"/>
          <w:szCs w:val="24"/>
        </w:rPr>
        <w:br/>
      </w:r>
      <w:r w:rsidRPr="00EA5119">
        <w:rPr>
          <w:rStyle w:val="Strong"/>
          <w:sz w:val="24"/>
          <w:szCs w:val="24"/>
        </w:rPr>
        <w:t>Nicky Athanassopoulou, Institute for Manufacturing</w:t>
      </w:r>
      <w:r w:rsidRPr="00EA5119">
        <w:rPr>
          <w:b/>
          <w:bCs/>
          <w:sz w:val="24"/>
          <w:szCs w:val="24"/>
        </w:rPr>
        <w:br/>
      </w:r>
      <w:r w:rsidRPr="00EA5119">
        <w:rPr>
          <w:rStyle w:val="Strong"/>
          <w:sz w:val="24"/>
          <w:szCs w:val="24"/>
        </w:rPr>
        <w:t>Shima Barakat, Cambridge Judge Business School</w:t>
      </w:r>
      <w:r w:rsidRPr="00EA5119">
        <w:rPr>
          <w:b/>
          <w:bCs/>
          <w:sz w:val="24"/>
          <w:szCs w:val="24"/>
        </w:rPr>
        <w:br/>
      </w:r>
      <w:r w:rsidRPr="00EA5119">
        <w:rPr>
          <w:rStyle w:val="Strong"/>
          <w:sz w:val="24"/>
          <w:szCs w:val="24"/>
        </w:rPr>
        <w:lastRenderedPageBreak/>
        <w:t>Claire Barlow, department of engineering</w:t>
      </w:r>
      <w:r w:rsidRPr="00EA5119">
        <w:rPr>
          <w:b/>
          <w:bCs/>
          <w:sz w:val="24"/>
          <w:szCs w:val="24"/>
        </w:rPr>
        <w:br/>
      </w:r>
      <w:r w:rsidRPr="00EA5119">
        <w:rPr>
          <w:rStyle w:val="Strong"/>
          <w:sz w:val="24"/>
          <w:szCs w:val="24"/>
        </w:rPr>
        <w:t>Catherine Barnard, Faculty of Law</w:t>
      </w:r>
      <w:r w:rsidRPr="00EA5119">
        <w:rPr>
          <w:b/>
          <w:bCs/>
          <w:sz w:val="24"/>
          <w:szCs w:val="24"/>
        </w:rPr>
        <w:br/>
      </w:r>
      <w:r w:rsidRPr="00EA5119">
        <w:rPr>
          <w:rStyle w:val="Strong"/>
          <w:sz w:val="24"/>
          <w:szCs w:val="24"/>
        </w:rPr>
        <w:t>John Bell, Faculty of Law</w:t>
      </w:r>
      <w:r w:rsidRPr="00EA5119">
        <w:rPr>
          <w:b/>
          <w:bCs/>
          <w:sz w:val="24"/>
          <w:szCs w:val="24"/>
        </w:rPr>
        <w:br/>
      </w:r>
      <w:r w:rsidRPr="00EA5119">
        <w:rPr>
          <w:rStyle w:val="Strong"/>
          <w:sz w:val="24"/>
          <w:szCs w:val="24"/>
        </w:rPr>
        <w:t>Dame Carol Black, principal, Newnham College</w:t>
      </w:r>
      <w:r w:rsidRPr="00EA5119">
        <w:rPr>
          <w:b/>
          <w:bCs/>
          <w:sz w:val="24"/>
          <w:szCs w:val="24"/>
        </w:rPr>
        <w:br/>
      </w:r>
      <w:r w:rsidRPr="00EA5119">
        <w:rPr>
          <w:rStyle w:val="Strong"/>
          <w:sz w:val="24"/>
          <w:szCs w:val="24"/>
        </w:rPr>
        <w:t xml:space="preserve">Brendan </w:t>
      </w:r>
      <w:proofErr w:type="spellStart"/>
      <w:r w:rsidRPr="00EA5119">
        <w:rPr>
          <w:rStyle w:val="Strong"/>
          <w:sz w:val="24"/>
          <w:szCs w:val="24"/>
        </w:rPr>
        <w:t>Burchell</w:t>
      </w:r>
      <w:proofErr w:type="spellEnd"/>
      <w:r w:rsidRPr="00EA5119">
        <w:rPr>
          <w:rStyle w:val="Strong"/>
          <w:sz w:val="24"/>
          <w:szCs w:val="24"/>
        </w:rPr>
        <w:t>, head, department of sociology</w:t>
      </w:r>
      <w:r w:rsidRPr="00EA5119">
        <w:rPr>
          <w:b/>
          <w:bCs/>
          <w:sz w:val="24"/>
          <w:szCs w:val="24"/>
        </w:rPr>
        <w:br/>
      </w:r>
      <w:r w:rsidRPr="00EA5119">
        <w:rPr>
          <w:rStyle w:val="Strong"/>
          <w:sz w:val="24"/>
          <w:szCs w:val="24"/>
        </w:rPr>
        <w:t>Ann Cartwright, Wellcome Trust/Cancer Research UK Gurdon Institute</w:t>
      </w:r>
      <w:r w:rsidRPr="00EA5119">
        <w:rPr>
          <w:b/>
          <w:bCs/>
          <w:sz w:val="24"/>
          <w:szCs w:val="24"/>
        </w:rPr>
        <w:br/>
      </w:r>
      <w:r w:rsidRPr="00EA5119">
        <w:rPr>
          <w:rStyle w:val="Strong"/>
          <w:sz w:val="24"/>
          <w:szCs w:val="24"/>
        </w:rPr>
        <w:t>Joya Chatterji, Faculty of History</w:t>
      </w:r>
      <w:r w:rsidRPr="00EA5119">
        <w:rPr>
          <w:b/>
          <w:bCs/>
          <w:sz w:val="24"/>
          <w:szCs w:val="24"/>
        </w:rPr>
        <w:br/>
      </w:r>
      <w:r w:rsidRPr="00EA5119">
        <w:rPr>
          <w:rStyle w:val="Strong"/>
          <w:sz w:val="24"/>
          <w:szCs w:val="24"/>
        </w:rPr>
        <w:t>Jane Clarke, department of chemistry</w:t>
      </w:r>
      <w:r w:rsidRPr="00EA5119">
        <w:rPr>
          <w:b/>
          <w:bCs/>
          <w:sz w:val="24"/>
          <w:szCs w:val="24"/>
        </w:rPr>
        <w:br/>
      </w:r>
      <w:r w:rsidRPr="00EA5119">
        <w:rPr>
          <w:rStyle w:val="Strong"/>
          <w:sz w:val="24"/>
          <w:szCs w:val="24"/>
        </w:rPr>
        <w:t>Nicola S. Clayton, department of psychology</w:t>
      </w:r>
      <w:r w:rsidRPr="00EA5119">
        <w:rPr>
          <w:b/>
          <w:bCs/>
          <w:sz w:val="24"/>
          <w:szCs w:val="24"/>
        </w:rPr>
        <w:br/>
      </w:r>
      <w:r w:rsidRPr="00EA5119">
        <w:rPr>
          <w:rStyle w:val="Strong"/>
          <w:sz w:val="24"/>
          <w:szCs w:val="24"/>
        </w:rPr>
        <w:t xml:space="preserve">Tim Crane, </w:t>
      </w:r>
      <w:proofErr w:type="spellStart"/>
      <w:r w:rsidRPr="00EA5119">
        <w:rPr>
          <w:rStyle w:val="Strong"/>
          <w:sz w:val="24"/>
          <w:szCs w:val="24"/>
        </w:rPr>
        <w:t>Knightbridge</w:t>
      </w:r>
      <w:proofErr w:type="spellEnd"/>
      <w:r w:rsidRPr="00EA5119">
        <w:rPr>
          <w:rStyle w:val="Strong"/>
          <w:sz w:val="24"/>
          <w:szCs w:val="24"/>
        </w:rPr>
        <w:t xml:space="preserve"> professor of philosophy</w:t>
      </w:r>
      <w:r w:rsidRPr="00EA5119">
        <w:rPr>
          <w:b/>
          <w:bCs/>
          <w:sz w:val="24"/>
          <w:szCs w:val="24"/>
        </w:rPr>
        <w:br/>
      </w:r>
      <w:r w:rsidRPr="00EA5119">
        <w:rPr>
          <w:rStyle w:val="Strong"/>
          <w:sz w:val="24"/>
          <w:szCs w:val="24"/>
        </w:rPr>
        <w:t>Martin Daunton, head, School of the Humanities and Social Sciences and master, Trinity Hall</w:t>
      </w:r>
      <w:r w:rsidRPr="00EA5119">
        <w:rPr>
          <w:b/>
          <w:bCs/>
          <w:sz w:val="24"/>
          <w:szCs w:val="24"/>
        </w:rPr>
        <w:br/>
      </w:r>
      <w:r w:rsidRPr="00EA5119">
        <w:rPr>
          <w:rStyle w:val="Strong"/>
          <w:sz w:val="24"/>
          <w:szCs w:val="24"/>
        </w:rPr>
        <w:t>Judith Driscoll, department of materials science and metallurgy</w:t>
      </w:r>
      <w:r w:rsidRPr="00EA5119">
        <w:rPr>
          <w:b/>
          <w:bCs/>
          <w:sz w:val="24"/>
          <w:szCs w:val="24"/>
        </w:rPr>
        <w:br/>
      </w:r>
      <w:r w:rsidRPr="00EA5119">
        <w:rPr>
          <w:rStyle w:val="Strong"/>
          <w:sz w:val="24"/>
          <w:szCs w:val="24"/>
        </w:rPr>
        <w:t>Patricia Fara, senior tutor, Clare College</w:t>
      </w:r>
      <w:r w:rsidRPr="00EA5119">
        <w:rPr>
          <w:b/>
          <w:bCs/>
          <w:sz w:val="24"/>
          <w:szCs w:val="24"/>
        </w:rPr>
        <w:br/>
      </w:r>
      <w:r w:rsidRPr="00EA5119">
        <w:rPr>
          <w:rStyle w:val="Strong"/>
          <w:sz w:val="24"/>
          <w:szCs w:val="24"/>
        </w:rPr>
        <w:t>Rachel Fogg, department of engineering</w:t>
      </w:r>
      <w:r w:rsidRPr="00EA5119">
        <w:rPr>
          <w:b/>
          <w:bCs/>
          <w:sz w:val="24"/>
          <w:szCs w:val="24"/>
        </w:rPr>
        <w:br/>
      </w:r>
      <w:r w:rsidRPr="00EA5119">
        <w:rPr>
          <w:rStyle w:val="Strong"/>
          <w:sz w:val="24"/>
          <w:szCs w:val="24"/>
        </w:rPr>
        <w:t>Sarah Foreman, University of Cambridge estate management division</w:t>
      </w:r>
      <w:r w:rsidRPr="00EA5119">
        <w:rPr>
          <w:b/>
          <w:bCs/>
          <w:sz w:val="24"/>
          <w:szCs w:val="24"/>
        </w:rPr>
        <w:br/>
      </w:r>
      <w:r w:rsidRPr="00EA5119">
        <w:rPr>
          <w:rStyle w:val="Strong"/>
          <w:sz w:val="24"/>
          <w:szCs w:val="24"/>
        </w:rPr>
        <w:t>Jennifer C. French, division of archaeology</w:t>
      </w:r>
      <w:r w:rsidRPr="00EA5119">
        <w:rPr>
          <w:b/>
          <w:bCs/>
          <w:sz w:val="24"/>
          <w:szCs w:val="24"/>
        </w:rPr>
        <w:br/>
      </w:r>
      <w:r w:rsidRPr="00EA5119">
        <w:rPr>
          <w:rStyle w:val="Strong"/>
          <w:sz w:val="24"/>
          <w:szCs w:val="24"/>
        </w:rPr>
        <w:t>Laurie Friday, School of the Physical Sciences</w:t>
      </w:r>
      <w:r w:rsidRPr="00EA5119">
        <w:rPr>
          <w:b/>
          <w:bCs/>
          <w:sz w:val="24"/>
          <w:szCs w:val="24"/>
        </w:rPr>
        <w:br/>
      </w:r>
      <w:r w:rsidRPr="00EA5119">
        <w:rPr>
          <w:rStyle w:val="Strong"/>
          <w:sz w:val="24"/>
          <w:szCs w:val="24"/>
        </w:rPr>
        <w:t>Jane Goodall, department of medicine</w:t>
      </w:r>
      <w:r w:rsidRPr="00EA5119">
        <w:rPr>
          <w:b/>
          <w:bCs/>
          <w:sz w:val="24"/>
          <w:szCs w:val="24"/>
        </w:rPr>
        <w:br/>
      </w:r>
      <w:r w:rsidRPr="00EA5119">
        <w:rPr>
          <w:rStyle w:val="Strong"/>
          <w:sz w:val="24"/>
          <w:szCs w:val="24"/>
        </w:rPr>
        <w:t>Valerie Gibson, Cavendish Laboratory</w:t>
      </w:r>
      <w:r w:rsidRPr="00EA5119">
        <w:rPr>
          <w:b/>
          <w:bCs/>
          <w:sz w:val="24"/>
          <w:szCs w:val="24"/>
        </w:rPr>
        <w:br/>
      </w:r>
      <w:r w:rsidRPr="00EA5119">
        <w:rPr>
          <w:rStyle w:val="Strong"/>
          <w:sz w:val="24"/>
          <w:szCs w:val="24"/>
        </w:rPr>
        <w:t>Fiona Gilbert, head, department of radiology</w:t>
      </w:r>
      <w:r w:rsidRPr="00EA5119">
        <w:rPr>
          <w:b/>
          <w:bCs/>
          <w:sz w:val="24"/>
          <w:szCs w:val="24"/>
        </w:rPr>
        <w:br/>
      </w:r>
      <w:r w:rsidRPr="00EA5119">
        <w:rPr>
          <w:rStyle w:val="Strong"/>
          <w:sz w:val="24"/>
          <w:szCs w:val="24"/>
        </w:rPr>
        <w:t xml:space="preserve">Emma </w:t>
      </w:r>
      <w:proofErr w:type="spellStart"/>
      <w:r w:rsidRPr="00EA5119">
        <w:rPr>
          <w:rStyle w:val="Strong"/>
          <w:sz w:val="24"/>
          <w:szCs w:val="24"/>
        </w:rPr>
        <w:t>Gilby</w:t>
      </w:r>
      <w:proofErr w:type="spellEnd"/>
      <w:r w:rsidRPr="00EA5119">
        <w:rPr>
          <w:rStyle w:val="Strong"/>
          <w:sz w:val="24"/>
          <w:szCs w:val="24"/>
        </w:rPr>
        <w:t>, department of French</w:t>
      </w:r>
      <w:r w:rsidRPr="00EA5119">
        <w:rPr>
          <w:b/>
          <w:bCs/>
          <w:sz w:val="24"/>
          <w:szCs w:val="24"/>
        </w:rPr>
        <w:br/>
      </w:r>
      <w:r w:rsidRPr="00EA5119">
        <w:rPr>
          <w:rStyle w:val="Strong"/>
          <w:sz w:val="24"/>
          <w:szCs w:val="24"/>
        </w:rPr>
        <w:t>Liz Hide, University of Cambridge Museums</w:t>
      </w:r>
      <w:r w:rsidRPr="00EA5119">
        <w:rPr>
          <w:b/>
          <w:bCs/>
          <w:sz w:val="24"/>
          <w:szCs w:val="24"/>
        </w:rPr>
        <w:br/>
      </w:r>
      <w:r w:rsidRPr="00EA5119">
        <w:rPr>
          <w:rStyle w:val="Strong"/>
          <w:sz w:val="24"/>
          <w:szCs w:val="24"/>
        </w:rPr>
        <w:t>Deborah Howard, department of history of art</w:t>
      </w:r>
      <w:r w:rsidRPr="00EA5119">
        <w:rPr>
          <w:b/>
          <w:bCs/>
          <w:sz w:val="24"/>
          <w:szCs w:val="24"/>
        </w:rPr>
        <w:br/>
      </w:r>
      <w:r w:rsidRPr="00EA5119">
        <w:rPr>
          <w:rStyle w:val="Strong"/>
          <w:sz w:val="24"/>
          <w:szCs w:val="24"/>
        </w:rPr>
        <w:t>Ann Louise Kinmonth CBE, emeritus professor of general practice</w:t>
      </w:r>
      <w:r w:rsidRPr="00EA5119">
        <w:rPr>
          <w:b/>
          <w:bCs/>
          <w:sz w:val="24"/>
          <w:szCs w:val="24"/>
        </w:rPr>
        <w:br/>
      </w:r>
      <w:r w:rsidRPr="00EA5119">
        <w:rPr>
          <w:rStyle w:val="Strong"/>
          <w:sz w:val="24"/>
          <w:szCs w:val="24"/>
        </w:rPr>
        <w:t>Judith Lieu, Faculty of Divinity</w:t>
      </w:r>
      <w:r w:rsidRPr="00EA5119">
        <w:rPr>
          <w:b/>
          <w:bCs/>
          <w:sz w:val="24"/>
          <w:szCs w:val="24"/>
        </w:rPr>
        <w:br/>
      </w:r>
      <w:r w:rsidRPr="00EA5119">
        <w:rPr>
          <w:rStyle w:val="Strong"/>
          <w:sz w:val="24"/>
          <w:szCs w:val="24"/>
        </w:rPr>
        <w:t>Theresa M. Marteau, Behaviour and Health Research Unit</w:t>
      </w:r>
      <w:r w:rsidRPr="00EA5119">
        <w:rPr>
          <w:b/>
          <w:bCs/>
          <w:sz w:val="24"/>
          <w:szCs w:val="24"/>
        </w:rPr>
        <w:br/>
      </w:r>
      <w:r w:rsidRPr="00EA5119">
        <w:rPr>
          <w:rStyle w:val="Strong"/>
          <w:sz w:val="24"/>
          <w:szCs w:val="24"/>
        </w:rPr>
        <w:t xml:space="preserve">Duncan </w:t>
      </w:r>
      <w:proofErr w:type="spellStart"/>
      <w:r w:rsidRPr="00EA5119">
        <w:rPr>
          <w:rStyle w:val="Strong"/>
          <w:sz w:val="24"/>
          <w:szCs w:val="24"/>
        </w:rPr>
        <w:t>Maskell</w:t>
      </w:r>
      <w:proofErr w:type="spellEnd"/>
      <w:r w:rsidRPr="00EA5119">
        <w:rPr>
          <w:rStyle w:val="Strong"/>
          <w:sz w:val="24"/>
          <w:szCs w:val="24"/>
        </w:rPr>
        <w:t>, head, School of the Biological Sciences</w:t>
      </w:r>
      <w:r w:rsidRPr="00EA5119">
        <w:rPr>
          <w:b/>
          <w:bCs/>
          <w:sz w:val="24"/>
          <w:szCs w:val="24"/>
        </w:rPr>
        <w:br/>
      </w:r>
      <w:r w:rsidRPr="00EA5119">
        <w:rPr>
          <w:rStyle w:val="Strong"/>
          <w:sz w:val="24"/>
          <w:szCs w:val="24"/>
        </w:rPr>
        <w:t>Jessie Monck, University of Cambridge Personal and Professional Development</w:t>
      </w:r>
      <w:r w:rsidRPr="00EA5119">
        <w:rPr>
          <w:b/>
          <w:bCs/>
          <w:sz w:val="24"/>
          <w:szCs w:val="24"/>
        </w:rPr>
        <w:br/>
      </w:r>
      <w:r w:rsidRPr="00EA5119">
        <w:rPr>
          <w:rStyle w:val="Strong"/>
          <w:sz w:val="24"/>
          <w:szCs w:val="24"/>
        </w:rPr>
        <w:t>Rachel Oliver, department of materials science and metallurgy</w:t>
      </w:r>
      <w:r w:rsidRPr="00EA5119">
        <w:rPr>
          <w:b/>
          <w:bCs/>
          <w:sz w:val="24"/>
          <w:szCs w:val="24"/>
        </w:rPr>
        <w:br/>
      </w:r>
      <w:r w:rsidRPr="00EA5119">
        <w:rPr>
          <w:rStyle w:val="Strong"/>
          <w:sz w:val="24"/>
          <w:szCs w:val="24"/>
        </w:rPr>
        <w:t>Andy Parker, head, Cavendish Laboratory</w:t>
      </w:r>
      <w:r w:rsidRPr="00EA5119">
        <w:rPr>
          <w:b/>
          <w:bCs/>
          <w:sz w:val="24"/>
          <w:szCs w:val="24"/>
        </w:rPr>
        <w:br/>
      </w:r>
      <w:r w:rsidRPr="00EA5119">
        <w:rPr>
          <w:rStyle w:val="Strong"/>
          <w:sz w:val="24"/>
          <w:szCs w:val="24"/>
        </w:rPr>
        <w:t>Sharon Peacock, department of medicine</w:t>
      </w:r>
      <w:r w:rsidRPr="00EA5119">
        <w:rPr>
          <w:b/>
          <w:bCs/>
          <w:sz w:val="24"/>
          <w:szCs w:val="24"/>
        </w:rPr>
        <w:br/>
      </w:r>
      <w:r w:rsidRPr="00EA5119">
        <w:rPr>
          <w:rStyle w:val="Strong"/>
          <w:sz w:val="24"/>
          <w:szCs w:val="24"/>
        </w:rPr>
        <w:t>Karina Prasad, head, Office of Postdoctoral Affairs</w:t>
      </w:r>
      <w:r w:rsidRPr="00EA5119">
        <w:rPr>
          <w:b/>
          <w:bCs/>
          <w:sz w:val="24"/>
          <w:szCs w:val="24"/>
        </w:rPr>
        <w:br/>
      </w:r>
      <w:r w:rsidRPr="00EA5119">
        <w:rPr>
          <w:rStyle w:val="Strong"/>
          <w:sz w:val="24"/>
          <w:szCs w:val="24"/>
        </w:rPr>
        <w:t xml:space="preserve">Wendy </w:t>
      </w:r>
      <w:proofErr w:type="spellStart"/>
      <w:r w:rsidRPr="00EA5119">
        <w:rPr>
          <w:rStyle w:val="Strong"/>
          <w:sz w:val="24"/>
          <w:szCs w:val="24"/>
        </w:rPr>
        <w:t>Pullan</w:t>
      </w:r>
      <w:proofErr w:type="spellEnd"/>
      <w:r w:rsidRPr="00EA5119">
        <w:rPr>
          <w:rStyle w:val="Strong"/>
          <w:sz w:val="24"/>
          <w:szCs w:val="24"/>
        </w:rPr>
        <w:t>, department of architecture</w:t>
      </w:r>
      <w:r w:rsidRPr="00EA5119">
        <w:rPr>
          <w:b/>
          <w:bCs/>
          <w:sz w:val="24"/>
          <w:szCs w:val="24"/>
        </w:rPr>
        <w:br/>
      </w:r>
      <w:r w:rsidRPr="00EA5119">
        <w:rPr>
          <w:rStyle w:val="Strong"/>
          <w:sz w:val="24"/>
          <w:szCs w:val="24"/>
        </w:rPr>
        <w:t>Margaret S. Robinson, Cambridge Institute for Medical Research</w:t>
      </w:r>
      <w:r w:rsidRPr="00EA5119">
        <w:rPr>
          <w:b/>
          <w:bCs/>
          <w:sz w:val="24"/>
          <w:szCs w:val="24"/>
        </w:rPr>
        <w:br/>
      </w:r>
      <w:proofErr w:type="spellStart"/>
      <w:r w:rsidRPr="00EA5119">
        <w:rPr>
          <w:rStyle w:val="Strong"/>
          <w:sz w:val="24"/>
          <w:szCs w:val="24"/>
        </w:rPr>
        <w:t>Ruchi</w:t>
      </w:r>
      <w:proofErr w:type="spellEnd"/>
      <w:r w:rsidRPr="00EA5119">
        <w:rPr>
          <w:rStyle w:val="Strong"/>
          <w:sz w:val="24"/>
          <w:szCs w:val="24"/>
        </w:rPr>
        <w:t xml:space="preserve"> </w:t>
      </w:r>
      <w:proofErr w:type="spellStart"/>
      <w:r w:rsidRPr="00EA5119">
        <w:rPr>
          <w:rStyle w:val="Strong"/>
          <w:sz w:val="24"/>
          <w:szCs w:val="24"/>
        </w:rPr>
        <w:t>Sinnatamby</w:t>
      </w:r>
      <w:proofErr w:type="spellEnd"/>
      <w:r w:rsidRPr="00EA5119">
        <w:rPr>
          <w:rStyle w:val="Strong"/>
          <w:sz w:val="24"/>
          <w:szCs w:val="24"/>
        </w:rPr>
        <w:t>, School of Clinical Medicine</w:t>
      </w:r>
      <w:r w:rsidRPr="00EA5119">
        <w:rPr>
          <w:b/>
          <w:bCs/>
          <w:sz w:val="24"/>
          <w:szCs w:val="24"/>
        </w:rPr>
        <w:br/>
      </w:r>
      <w:r w:rsidRPr="00EA5119">
        <w:rPr>
          <w:rStyle w:val="Strong"/>
          <w:sz w:val="24"/>
          <w:szCs w:val="24"/>
        </w:rPr>
        <w:t>Rebecca Simmons, Medical Research Council Epidemiology Unit</w:t>
      </w:r>
      <w:r w:rsidRPr="00EA5119">
        <w:rPr>
          <w:b/>
          <w:bCs/>
          <w:sz w:val="24"/>
          <w:szCs w:val="24"/>
        </w:rPr>
        <w:br/>
      </w:r>
      <w:r w:rsidRPr="00EA5119">
        <w:rPr>
          <w:rStyle w:val="Strong"/>
          <w:sz w:val="24"/>
          <w:szCs w:val="24"/>
        </w:rPr>
        <w:t>Alison Smith, department of plant sciences</w:t>
      </w:r>
      <w:r w:rsidRPr="00EA5119">
        <w:rPr>
          <w:b/>
          <w:bCs/>
          <w:sz w:val="24"/>
          <w:szCs w:val="24"/>
        </w:rPr>
        <w:br/>
      </w:r>
      <w:r w:rsidRPr="00EA5119">
        <w:rPr>
          <w:rStyle w:val="Strong"/>
          <w:sz w:val="24"/>
          <w:szCs w:val="24"/>
        </w:rPr>
        <w:t>Annabel Smith, Cambridge Institute for Medical Research</w:t>
      </w:r>
      <w:r w:rsidRPr="00EA5119">
        <w:rPr>
          <w:b/>
          <w:bCs/>
          <w:sz w:val="24"/>
          <w:szCs w:val="24"/>
        </w:rPr>
        <w:br/>
      </w:r>
      <w:r w:rsidRPr="00EA5119">
        <w:rPr>
          <w:rStyle w:val="Strong"/>
          <w:sz w:val="24"/>
          <w:szCs w:val="24"/>
        </w:rPr>
        <w:t>Koen Steemers, head, department of architecture</w:t>
      </w:r>
      <w:r w:rsidRPr="00EA5119">
        <w:rPr>
          <w:b/>
          <w:bCs/>
          <w:sz w:val="24"/>
          <w:szCs w:val="24"/>
        </w:rPr>
        <w:br/>
      </w:r>
      <w:r w:rsidRPr="00EA5119">
        <w:rPr>
          <w:rStyle w:val="Strong"/>
          <w:sz w:val="24"/>
          <w:szCs w:val="24"/>
        </w:rPr>
        <w:t>Philippa Steele, Faculty of Classics</w:t>
      </w:r>
      <w:r w:rsidRPr="00EA5119">
        <w:rPr>
          <w:b/>
          <w:bCs/>
          <w:sz w:val="24"/>
          <w:szCs w:val="24"/>
        </w:rPr>
        <w:br/>
      </w:r>
      <w:r w:rsidRPr="00EA5119">
        <w:rPr>
          <w:rStyle w:val="Strong"/>
          <w:sz w:val="24"/>
          <w:szCs w:val="24"/>
        </w:rPr>
        <w:t>Dame Barbara Stocking, president, Murray Edwards College</w:t>
      </w:r>
      <w:r w:rsidRPr="00EA5119">
        <w:rPr>
          <w:b/>
          <w:bCs/>
          <w:sz w:val="24"/>
          <w:szCs w:val="24"/>
        </w:rPr>
        <w:br/>
      </w:r>
      <w:r w:rsidRPr="00EA5119">
        <w:rPr>
          <w:rStyle w:val="Strong"/>
          <w:sz w:val="24"/>
          <w:szCs w:val="24"/>
        </w:rPr>
        <w:t>Suzy Stoodley, department of plant sciences</w:t>
      </w:r>
      <w:r w:rsidRPr="00EA5119">
        <w:rPr>
          <w:b/>
          <w:bCs/>
          <w:sz w:val="24"/>
          <w:szCs w:val="24"/>
        </w:rPr>
        <w:br/>
      </w:r>
      <w:r w:rsidRPr="00EA5119">
        <w:rPr>
          <w:rStyle w:val="Strong"/>
          <w:sz w:val="24"/>
          <w:szCs w:val="24"/>
        </w:rPr>
        <w:t>Abir Al-Tabbaa, department of engineering</w:t>
      </w:r>
      <w:r w:rsidRPr="00EA5119">
        <w:rPr>
          <w:b/>
          <w:bCs/>
          <w:sz w:val="24"/>
          <w:szCs w:val="24"/>
        </w:rPr>
        <w:br/>
      </w:r>
      <w:r w:rsidRPr="00EA5119">
        <w:rPr>
          <w:rStyle w:val="Strong"/>
          <w:sz w:val="24"/>
          <w:szCs w:val="24"/>
        </w:rPr>
        <w:t xml:space="preserve">Liba </w:t>
      </w:r>
      <w:proofErr w:type="spellStart"/>
      <w:r w:rsidRPr="00EA5119">
        <w:rPr>
          <w:rStyle w:val="Strong"/>
          <w:sz w:val="24"/>
          <w:szCs w:val="24"/>
        </w:rPr>
        <w:t>Taub</w:t>
      </w:r>
      <w:proofErr w:type="spellEnd"/>
      <w:r w:rsidRPr="00EA5119">
        <w:rPr>
          <w:rStyle w:val="Strong"/>
          <w:sz w:val="24"/>
          <w:szCs w:val="24"/>
        </w:rPr>
        <w:t xml:space="preserve">, director and curator, Whipple Museum of the History of Science </w:t>
      </w:r>
      <w:r w:rsidRPr="00EA5119">
        <w:rPr>
          <w:b/>
          <w:bCs/>
          <w:sz w:val="24"/>
          <w:szCs w:val="24"/>
        </w:rPr>
        <w:br/>
      </w:r>
      <w:r w:rsidRPr="00EA5119">
        <w:rPr>
          <w:rStyle w:val="Strong"/>
          <w:sz w:val="24"/>
          <w:szCs w:val="24"/>
        </w:rPr>
        <w:t>Susie White, Faculty of Asian and Middle Eastern Studies</w:t>
      </w:r>
      <w:r w:rsidRPr="00EA5119">
        <w:rPr>
          <w:b/>
          <w:bCs/>
          <w:sz w:val="24"/>
          <w:szCs w:val="24"/>
        </w:rPr>
        <w:br/>
      </w:r>
      <w:r w:rsidRPr="00EA5119">
        <w:rPr>
          <w:rStyle w:val="Strong"/>
          <w:sz w:val="24"/>
          <w:szCs w:val="24"/>
        </w:rPr>
        <w:t>Emma Wilson, department of French</w:t>
      </w:r>
      <w:r w:rsidRPr="00EA5119">
        <w:rPr>
          <w:b/>
          <w:bCs/>
          <w:sz w:val="24"/>
          <w:szCs w:val="24"/>
        </w:rPr>
        <w:br/>
      </w:r>
      <w:r w:rsidRPr="00EA5119">
        <w:rPr>
          <w:rStyle w:val="Strong"/>
          <w:sz w:val="24"/>
          <w:szCs w:val="24"/>
        </w:rPr>
        <w:t>Elizabeth Tilley, Faculty of English</w:t>
      </w:r>
    </w:p>
    <w:p w:rsidR="003E270F" w:rsidRDefault="003E270F" w:rsidP="00F86F08">
      <w:pPr>
        <w:ind w:firstLine="0"/>
        <w:rPr>
          <w:highlight w:val="yellow"/>
        </w:rPr>
      </w:pPr>
    </w:p>
    <w:p w:rsidR="00B523FF" w:rsidRDefault="00B523FF" w:rsidP="00F86F08">
      <w:pPr>
        <w:ind w:firstLine="0"/>
        <w:rPr>
          <w:highlight w:val="yellow"/>
        </w:rPr>
        <w:sectPr w:rsidR="00B523FF" w:rsidSect="00FA2672">
          <w:headerReference w:type="default" r:id="rId39"/>
          <w:footerReference w:type="even" r:id="rId40"/>
          <w:footerReference w:type="default" r:id="rId41"/>
          <w:pgSz w:w="11906" w:h="16838"/>
          <w:pgMar w:top="794" w:right="907" w:bottom="510" w:left="1134" w:header="709" w:footer="709" w:gutter="0"/>
          <w:cols w:space="708"/>
          <w:titlePg/>
          <w:docGrid w:linePitch="360"/>
        </w:sectPr>
      </w:pPr>
    </w:p>
    <w:p w:rsidR="003E270F" w:rsidRPr="00996BF1" w:rsidRDefault="003E270F" w:rsidP="00F86F08">
      <w:pPr>
        <w:pStyle w:val="Heading1"/>
        <w:rPr>
          <w:sz w:val="28"/>
          <w:szCs w:val="28"/>
        </w:rPr>
      </w:pPr>
      <w:bookmarkStart w:id="78" w:name="_Toc400632063"/>
      <w:bookmarkStart w:id="79" w:name="_Toc401575392"/>
      <w:r w:rsidRPr="00996BF1">
        <w:rPr>
          <w:sz w:val="28"/>
          <w:szCs w:val="28"/>
        </w:rPr>
        <w:lastRenderedPageBreak/>
        <w:t xml:space="preserve">Appendix </w:t>
      </w:r>
      <w:bookmarkEnd w:id="78"/>
      <w:r w:rsidR="00B523FF">
        <w:rPr>
          <w:sz w:val="28"/>
          <w:szCs w:val="28"/>
        </w:rPr>
        <w:t>3</w:t>
      </w:r>
      <w:bookmarkEnd w:id="79"/>
    </w:p>
    <w:p w:rsidR="003D0037" w:rsidRPr="00096561" w:rsidRDefault="003D0037" w:rsidP="00F86F08">
      <w:pPr>
        <w:ind w:firstLine="0"/>
        <w:rPr>
          <w:highlight w:val="yellow"/>
        </w:rPr>
      </w:pPr>
    </w:p>
    <w:p w:rsidR="00096561" w:rsidRDefault="00096561" w:rsidP="00F86F08">
      <w:pPr>
        <w:ind w:firstLine="0"/>
        <w:rPr>
          <w:highlight w:val="yellow"/>
        </w:rPr>
      </w:pPr>
    </w:p>
    <w:p w:rsidR="007836CA" w:rsidRDefault="007836CA" w:rsidP="00F86F08">
      <w:pPr>
        <w:ind w:firstLine="0"/>
        <w:rPr>
          <w:highlight w:val="yellow"/>
        </w:rPr>
      </w:pPr>
      <w:r w:rsidRPr="007836CA">
        <w:rPr>
          <w:noProof/>
        </w:rPr>
        <w:drawing>
          <wp:inline distT="0" distB="0" distL="0" distR="0" wp14:anchorId="358CE93E" wp14:editId="79DCB2E1">
            <wp:extent cx="9864090" cy="23453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64090" cy="2345342"/>
                    </a:xfrm>
                    <a:prstGeom prst="rect">
                      <a:avLst/>
                    </a:prstGeom>
                    <a:noFill/>
                    <a:ln>
                      <a:noFill/>
                    </a:ln>
                  </pic:spPr>
                </pic:pic>
              </a:graphicData>
            </a:graphic>
          </wp:inline>
        </w:drawing>
      </w:r>
    </w:p>
    <w:p w:rsidR="007836CA" w:rsidRDefault="007836CA" w:rsidP="00F86F08">
      <w:pPr>
        <w:ind w:firstLine="0"/>
        <w:rPr>
          <w:highlight w:val="yellow"/>
        </w:rPr>
      </w:pPr>
    </w:p>
    <w:p w:rsidR="007836CA" w:rsidRDefault="007836CA" w:rsidP="00F86F08">
      <w:pPr>
        <w:ind w:firstLine="0"/>
        <w:rPr>
          <w:highlight w:val="yellow"/>
        </w:rPr>
      </w:pPr>
    </w:p>
    <w:p w:rsidR="007836CA" w:rsidRDefault="007836CA" w:rsidP="00F86F08">
      <w:pPr>
        <w:ind w:firstLine="0"/>
        <w:rPr>
          <w:highlight w:val="yellow"/>
        </w:rPr>
      </w:pPr>
    </w:p>
    <w:p w:rsidR="001D71A1" w:rsidRPr="007836CA" w:rsidRDefault="001D71A1" w:rsidP="007836CA">
      <w:pPr>
        <w:ind w:firstLine="0"/>
        <w:rPr>
          <w:highlight w:val="yellow"/>
        </w:rPr>
      </w:pPr>
    </w:p>
    <w:sectPr w:rsidR="001D71A1" w:rsidRPr="007836CA" w:rsidSect="007836CA">
      <w:pgSz w:w="16838" w:h="11906" w:orient="landscape"/>
      <w:pgMar w:top="1134" w:right="794" w:bottom="907" w:left="51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33D" w:rsidRDefault="00B9633D" w:rsidP="00FA3D08">
      <w:r>
        <w:separator/>
      </w:r>
    </w:p>
  </w:endnote>
  <w:endnote w:type="continuationSeparator" w:id="0">
    <w:p w:rsidR="00B9633D" w:rsidRDefault="00B9633D" w:rsidP="00FA3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abon">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2D3" w:rsidRDefault="00F542D3" w:rsidP="00C069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542D3" w:rsidRDefault="00F542D3" w:rsidP="00FF795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2D3" w:rsidRPr="00FF795A" w:rsidRDefault="00F542D3" w:rsidP="00C06999">
    <w:pPr>
      <w:pStyle w:val="Footer"/>
      <w:framePr w:wrap="around" w:vAnchor="text" w:hAnchor="margin" w:xAlign="right" w:y="1"/>
      <w:rPr>
        <w:rStyle w:val="PageNumber"/>
        <w:rFonts w:ascii="Arial" w:hAnsi="Arial" w:cs="Arial"/>
      </w:rPr>
    </w:pPr>
    <w:r w:rsidRPr="00D62F69">
      <w:rPr>
        <w:rStyle w:val="PageNumber"/>
        <w:rFonts w:ascii="Arial" w:hAnsi="Arial" w:cs="Arial"/>
      </w:rPr>
      <w:fldChar w:fldCharType="begin"/>
    </w:r>
    <w:r w:rsidRPr="00FF795A">
      <w:rPr>
        <w:rStyle w:val="PageNumber"/>
        <w:rFonts w:ascii="Arial" w:hAnsi="Arial" w:cs="Arial"/>
      </w:rPr>
      <w:instrText xml:space="preserve">PAGE  </w:instrText>
    </w:r>
    <w:r w:rsidRPr="00D62F69">
      <w:rPr>
        <w:rStyle w:val="PageNumber"/>
        <w:rFonts w:ascii="Arial" w:hAnsi="Arial" w:cs="Arial"/>
      </w:rPr>
      <w:fldChar w:fldCharType="separate"/>
    </w:r>
    <w:r w:rsidR="002A4EEC">
      <w:rPr>
        <w:rStyle w:val="PageNumber"/>
        <w:rFonts w:ascii="Arial" w:hAnsi="Arial" w:cs="Arial"/>
        <w:noProof/>
      </w:rPr>
      <w:t>32</w:t>
    </w:r>
    <w:r w:rsidRPr="00D62F69">
      <w:rPr>
        <w:rStyle w:val="PageNumber"/>
        <w:rFonts w:ascii="Arial" w:hAnsi="Arial" w:cs="Arial"/>
      </w:rPr>
      <w:fldChar w:fldCharType="end"/>
    </w:r>
  </w:p>
  <w:p w:rsidR="00F542D3" w:rsidRPr="00FF795A" w:rsidRDefault="00F542D3" w:rsidP="00FF795A">
    <w:pPr>
      <w:pStyle w:val="Footer"/>
      <w:ind w:right="36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F542D3" w:rsidRDefault="00F542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33D" w:rsidRDefault="00B9633D" w:rsidP="00FA3D08">
      <w:r>
        <w:separator/>
      </w:r>
    </w:p>
  </w:footnote>
  <w:footnote w:type="continuationSeparator" w:id="0">
    <w:p w:rsidR="00B9633D" w:rsidRDefault="00B9633D" w:rsidP="00FA3D08">
      <w:r>
        <w:continuationSeparator/>
      </w:r>
    </w:p>
  </w:footnote>
  <w:footnote w:id="1">
    <w:p w:rsidR="00F542D3" w:rsidRDefault="00F542D3" w:rsidP="001D691A">
      <w:pPr>
        <w:pStyle w:val="FootnoteText"/>
      </w:pPr>
      <w:r>
        <w:rPr>
          <w:rStyle w:val="FootnoteReference"/>
        </w:rPr>
        <w:footnoteRef/>
      </w:r>
      <w:r>
        <w:t xml:space="preserve"> </w:t>
      </w:r>
      <w:r w:rsidRPr="000F291A">
        <w:t>http://www.cam.ac.uk/women-at-cambridge</w:t>
      </w:r>
    </w:p>
  </w:footnote>
  <w:footnote w:id="2">
    <w:p w:rsidR="00F542D3" w:rsidRDefault="00F542D3">
      <w:pPr>
        <w:pStyle w:val="FootnoteText"/>
      </w:pPr>
      <w:r>
        <w:rPr>
          <w:rStyle w:val="FootnoteReference"/>
        </w:rPr>
        <w:footnoteRef/>
      </w:r>
      <w:r>
        <w:t xml:space="preserve"> </w:t>
      </w:r>
      <w:r w:rsidRPr="00D942DE">
        <w:t>http://www.equality.admin.cam.ac.uk/equality-and-diversity-cambridge/university-equality-champions</w:t>
      </w:r>
    </w:p>
  </w:footnote>
  <w:footnote w:id="3">
    <w:p w:rsidR="00F542D3" w:rsidRDefault="00F542D3">
      <w:pPr>
        <w:pStyle w:val="FootnoteText"/>
      </w:pPr>
      <w:r>
        <w:rPr>
          <w:rStyle w:val="FootnoteReference"/>
        </w:rPr>
        <w:footnoteRef/>
      </w:r>
      <w:r>
        <w:t xml:space="preserve"> </w:t>
      </w:r>
      <w:r w:rsidRPr="00D42520">
        <w:t>http://www.equality.admin.cam.ac.uk/files/objectives_201216.pdf</w:t>
      </w:r>
    </w:p>
  </w:footnote>
  <w:footnote w:id="4">
    <w:p w:rsidR="00F542D3" w:rsidRDefault="00F542D3" w:rsidP="00F542D3">
      <w:pPr>
        <w:pStyle w:val="FootnoteText"/>
      </w:pPr>
      <w:r>
        <w:rPr>
          <w:rStyle w:val="FootnoteReference"/>
        </w:rPr>
        <w:footnoteRef/>
      </w:r>
      <w:r>
        <w:t xml:space="preserve"> </w:t>
      </w:r>
      <w:r w:rsidRPr="00DF4D13">
        <w:t>https://camtools.cam.ac.uk/join/equal_div</w:t>
      </w:r>
    </w:p>
  </w:footnote>
  <w:footnote w:id="5">
    <w:p w:rsidR="00F542D3" w:rsidRDefault="00F542D3" w:rsidP="002A48F7">
      <w:pPr>
        <w:pStyle w:val="FootnoteText"/>
        <w:ind w:left="360" w:firstLine="0"/>
      </w:pPr>
      <w:r>
        <w:rPr>
          <w:rStyle w:val="FootnoteReference"/>
        </w:rPr>
        <w:footnoteRef/>
      </w:r>
      <w:r>
        <w:t xml:space="preserve"> </w:t>
      </w:r>
      <w:r w:rsidRPr="002A48F7">
        <w:t>Disability recording data has been updated and now records those who disclose they do not have a disability as such instead of amongst the ‘not known’ category</w:t>
      </w:r>
    </w:p>
  </w:footnote>
  <w:footnote w:id="6">
    <w:p w:rsidR="00F542D3" w:rsidRDefault="00F542D3" w:rsidP="0006235C">
      <w:pPr>
        <w:pStyle w:val="FootnoteText"/>
      </w:pPr>
      <w:r>
        <w:rPr>
          <w:rStyle w:val="FootnoteReference"/>
        </w:rPr>
        <w:footnoteRef/>
      </w:r>
      <w:r>
        <w:t xml:space="preserve"> Visit </w:t>
      </w:r>
      <w:r w:rsidRPr="001D0A8E">
        <w:t>http://www.hrsystems.admin.cam.ac.uk/systems/systems-overview/employee-self-service-ess</w:t>
      </w:r>
    </w:p>
  </w:footnote>
  <w:footnote w:id="7">
    <w:p w:rsidR="00F542D3" w:rsidRDefault="00F542D3">
      <w:pPr>
        <w:pStyle w:val="FootnoteText"/>
      </w:pPr>
      <w:r>
        <w:rPr>
          <w:rStyle w:val="FootnoteReference"/>
        </w:rPr>
        <w:footnoteRef/>
      </w:r>
      <w:r>
        <w:t xml:space="preserve"> </w:t>
      </w:r>
      <w:r w:rsidRPr="00F86F08">
        <w:t>http://www.equality.admin.cam.ac.uk/files/gender_action_plan_2014_final.pdf</w:t>
      </w:r>
    </w:p>
  </w:footnote>
  <w:footnote w:id="8">
    <w:p w:rsidR="00F542D3" w:rsidRDefault="00F542D3">
      <w:pPr>
        <w:pStyle w:val="FootnoteText"/>
      </w:pPr>
      <w:r>
        <w:rPr>
          <w:rStyle w:val="FootnoteReference"/>
        </w:rPr>
        <w:footnoteRef/>
      </w:r>
      <w:r>
        <w:t xml:space="preserve"> </w:t>
      </w:r>
      <w:r w:rsidRPr="001E7B92">
        <w:t>http://www.equality.admin.cam.ac.uk/diversity-networks/womens-staff-network</w:t>
      </w:r>
    </w:p>
  </w:footnote>
  <w:footnote w:id="9">
    <w:p w:rsidR="00F542D3" w:rsidRDefault="00F542D3">
      <w:pPr>
        <w:pStyle w:val="FootnoteText"/>
      </w:pPr>
      <w:r>
        <w:rPr>
          <w:rStyle w:val="FootnoteReference"/>
        </w:rPr>
        <w:footnoteRef/>
      </w:r>
      <w:r>
        <w:t xml:space="preserve"> </w:t>
      </w:r>
      <w:r w:rsidRPr="002403C1">
        <w:t>http://www.equality.admin.cam.ac.uk/equality-and-diversity-cambridge/senior-gender-equality-network</w:t>
      </w:r>
    </w:p>
  </w:footnote>
  <w:footnote w:id="10">
    <w:p w:rsidR="00F542D3" w:rsidRDefault="00F542D3">
      <w:pPr>
        <w:pStyle w:val="FootnoteText"/>
      </w:pPr>
      <w:r>
        <w:rPr>
          <w:rStyle w:val="FootnoteReference"/>
        </w:rPr>
        <w:footnoteRef/>
      </w:r>
      <w:r>
        <w:t xml:space="preserve"> </w:t>
      </w:r>
      <w:r w:rsidRPr="007941C8">
        <w:t>http://www.equality.admin.cam.ac.uk/equality-and-diversity-cambridge/gender-equality-group</w:t>
      </w:r>
    </w:p>
  </w:footnote>
  <w:footnote w:id="11">
    <w:p w:rsidR="00F542D3" w:rsidRDefault="00F542D3">
      <w:pPr>
        <w:pStyle w:val="FootnoteText"/>
      </w:pPr>
      <w:r>
        <w:rPr>
          <w:rStyle w:val="FootnoteReference"/>
        </w:rPr>
        <w:footnoteRef/>
      </w:r>
      <w:r>
        <w:t xml:space="preserve"> </w:t>
      </w:r>
      <w:r w:rsidRPr="007941C8">
        <w:t>http://www.equality.admin.cam.ac.uk/projects/wiseti</w:t>
      </w:r>
    </w:p>
  </w:footnote>
  <w:footnote w:id="12">
    <w:p w:rsidR="00F542D3" w:rsidRDefault="00F542D3">
      <w:pPr>
        <w:pStyle w:val="FootnoteText"/>
      </w:pPr>
      <w:r>
        <w:rPr>
          <w:rStyle w:val="FootnoteReference"/>
        </w:rPr>
        <w:footnoteRef/>
      </w:r>
      <w:r>
        <w:t xml:space="preserve"> </w:t>
      </w:r>
      <w:r w:rsidRPr="007941C8">
        <w:t>http://www.equality.admin.cam.ac.uk/projects/athena-swan</w:t>
      </w:r>
    </w:p>
  </w:footnote>
  <w:footnote w:id="13">
    <w:p w:rsidR="00F542D3" w:rsidRDefault="00F542D3" w:rsidP="009C4CD5">
      <w:pPr>
        <w:pStyle w:val="FootnoteText"/>
      </w:pPr>
      <w:r>
        <w:rPr>
          <w:rStyle w:val="FootnoteReference"/>
        </w:rPr>
        <w:footnoteRef/>
      </w:r>
      <w:r>
        <w:t xml:space="preserve"> </w:t>
      </w:r>
      <w:r w:rsidRPr="000F245F">
        <w:t>Recognising commitment to advancing women's careers in science, technology, engineering, maths and medicine (STEMM) employment in higher education and research.</w:t>
      </w:r>
    </w:p>
  </w:footnote>
  <w:footnote w:id="14">
    <w:p w:rsidR="00F542D3" w:rsidRDefault="00F542D3">
      <w:pPr>
        <w:pStyle w:val="FootnoteText"/>
      </w:pPr>
      <w:r>
        <w:rPr>
          <w:rStyle w:val="FootnoteReference"/>
        </w:rPr>
        <w:footnoteRef/>
      </w:r>
      <w:r>
        <w:t xml:space="preserve"> </w:t>
      </w:r>
      <w:r w:rsidRPr="003E4695">
        <w:t>http://www.equality.admin.cam.ac.uk/equality-and-diversity-cambridge/university-equality-champions</w:t>
      </w:r>
    </w:p>
  </w:footnote>
  <w:footnote w:id="15">
    <w:p w:rsidR="00F542D3" w:rsidRDefault="00F542D3">
      <w:pPr>
        <w:pStyle w:val="FootnoteText"/>
      </w:pPr>
      <w:r>
        <w:rPr>
          <w:rStyle w:val="FootnoteReference"/>
        </w:rPr>
        <w:footnoteRef/>
      </w:r>
      <w:r>
        <w:t xml:space="preserve"> </w:t>
      </w:r>
      <w:r w:rsidRPr="00F621A5">
        <w:t>http://www.admin.cam.ac.uk/reporter/2012-13/weekly/6287/section1.shtml#heading2-5</w:t>
      </w:r>
    </w:p>
  </w:footnote>
  <w:footnote w:id="16">
    <w:p w:rsidR="00F542D3" w:rsidRDefault="00F542D3">
      <w:pPr>
        <w:pStyle w:val="FootnoteText"/>
      </w:pPr>
      <w:r>
        <w:rPr>
          <w:rStyle w:val="FootnoteReference"/>
        </w:rPr>
        <w:footnoteRef/>
      </w:r>
      <w:r>
        <w:t xml:space="preserve"> V</w:t>
      </w:r>
      <w:r w:rsidRPr="000405F9">
        <w:t xml:space="preserve">isit </w:t>
      </w:r>
      <w:r w:rsidRPr="0019383B">
        <w:t>http://www.equality.admin.cam.ac.uk/equality-and-diversity-cambridge/gender-equality-group</w:t>
      </w:r>
    </w:p>
  </w:footnote>
  <w:footnote w:id="17">
    <w:p w:rsidR="00F542D3" w:rsidRDefault="00F542D3">
      <w:pPr>
        <w:pStyle w:val="FootnoteText"/>
      </w:pPr>
      <w:r>
        <w:rPr>
          <w:rStyle w:val="FootnoteReference"/>
        </w:rPr>
        <w:footnoteRef/>
      </w:r>
      <w:r>
        <w:t xml:space="preserve"> </w:t>
      </w:r>
      <w:r w:rsidRPr="002F5E13">
        <w:t>http://www.equality.admin.cam.ac.uk/diversity-networks/world-cambridge-network</w:t>
      </w:r>
    </w:p>
  </w:footnote>
  <w:footnote w:id="18">
    <w:p w:rsidR="00F542D3" w:rsidRDefault="00F542D3">
      <w:pPr>
        <w:pStyle w:val="FootnoteText"/>
      </w:pPr>
      <w:r>
        <w:rPr>
          <w:rStyle w:val="FootnoteReference"/>
        </w:rPr>
        <w:footnoteRef/>
      </w:r>
      <w:r>
        <w:t xml:space="preserve"> </w:t>
      </w:r>
      <w:r w:rsidRPr="002F5E13">
        <w:t>http://www.equality.admin.cam.ac.uk/projects/interconnect/interconnect-action-plan</w:t>
      </w:r>
    </w:p>
  </w:footnote>
  <w:footnote w:id="19">
    <w:p w:rsidR="00F542D3" w:rsidRDefault="00F542D3">
      <w:pPr>
        <w:pStyle w:val="FootnoteText"/>
      </w:pPr>
      <w:r>
        <w:rPr>
          <w:rStyle w:val="FootnoteReference"/>
        </w:rPr>
        <w:footnoteRef/>
      </w:r>
      <w:r>
        <w:t xml:space="preserve"> </w:t>
      </w:r>
      <w:r w:rsidRPr="006F3665">
        <w:t>http://www.equality.admin.cam.ac.uk/diversity-networks/disabled-staff-network</w:t>
      </w:r>
    </w:p>
  </w:footnote>
  <w:footnote w:id="20">
    <w:p w:rsidR="00F542D3" w:rsidRDefault="00F542D3">
      <w:pPr>
        <w:pStyle w:val="FootnoteText"/>
      </w:pPr>
      <w:r>
        <w:rPr>
          <w:rStyle w:val="FootnoteReference"/>
        </w:rPr>
        <w:footnoteRef/>
      </w:r>
      <w:r>
        <w:t xml:space="preserve"> </w:t>
      </w:r>
      <w:r w:rsidRPr="006F3665">
        <w:t>http://www.peoplematterweek.admin.cam.ac.uk/</w:t>
      </w:r>
    </w:p>
  </w:footnote>
  <w:footnote w:id="21">
    <w:p w:rsidR="00F542D3" w:rsidRDefault="00F542D3">
      <w:pPr>
        <w:pStyle w:val="FootnoteText"/>
      </w:pPr>
      <w:r>
        <w:rPr>
          <w:rStyle w:val="FootnoteReference"/>
        </w:rPr>
        <w:footnoteRef/>
      </w:r>
      <w:r>
        <w:t xml:space="preserve"> </w:t>
      </w:r>
      <w:r w:rsidRPr="00F10192">
        <w:t>http://www.disability.admin.cam.ac.uk/</w:t>
      </w:r>
    </w:p>
  </w:footnote>
  <w:footnote w:id="22">
    <w:p w:rsidR="00F542D3" w:rsidRDefault="00F542D3">
      <w:pPr>
        <w:pStyle w:val="FootnoteText"/>
      </w:pPr>
      <w:r>
        <w:rPr>
          <w:rStyle w:val="FootnoteReference"/>
        </w:rPr>
        <w:footnoteRef/>
      </w:r>
      <w:r>
        <w:t xml:space="preserve"> </w:t>
      </w:r>
      <w:r w:rsidRPr="00234262">
        <w:t>http://www.equality.admin.cam.ac.uk/diversity-networks/lgbt-staff-network</w:t>
      </w:r>
    </w:p>
  </w:footnote>
  <w:footnote w:id="23">
    <w:p w:rsidR="00F542D3" w:rsidRPr="00CF52A1" w:rsidRDefault="00F542D3" w:rsidP="00CF52A1">
      <w:pPr>
        <w:pStyle w:val="FootnoteText"/>
        <w:rPr>
          <w:color w:val="000000" w:themeColor="text1"/>
        </w:rPr>
      </w:pPr>
      <w:r w:rsidRPr="00CF52A1">
        <w:rPr>
          <w:rStyle w:val="FootnoteReference"/>
          <w:color w:val="000000" w:themeColor="text1"/>
        </w:rPr>
        <w:footnoteRef/>
      </w:r>
      <w:r w:rsidRPr="00CF52A1">
        <w:rPr>
          <w:color w:val="000000" w:themeColor="text1"/>
        </w:rPr>
        <w:t xml:space="preserve"> </w:t>
      </w:r>
      <w:hyperlink r:id="rId1" w:history="1">
        <w:r w:rsidRPr="00CF52A1">
          <w:rPr>
            <w:rStyle w:val="Hyperlink"/>
            <w:color w:val="000000" w:themeColor="text1"/>
          </w:rPr>
          <w:t>http://www.admin.cam.ac.uk/offices/education/reviews/</w:t>
        </w:r>
      </w:hyperlink>
      <w:r w:rsidRPr="00CF52A1">
        <w:rPr>
          <w:color w:val="000000" w:themeColor="text1"/>
        </w:rPr>
        <w:t xml:space="preserve"> </w:t>
      </w:r>
    </w:p>
  </w:footnote>
  <w:footnote w:id="24">
    <w:p w:rsidR="00F542D3" w:rsidRDefault="00F542D3" w:rsidP="00B523FF">
      <w:pPr>
        <w:pStyle w:val="FootnoteText"/>
      </w:pPr>
      <w:r>
        <w:rPr>
          <w:rStyle w:val="FootnoteReference"/>
        </w:rPr>
        <w:footnoteRef/>
      </w:r>
      <w:r>
        <w:t xml:space="preserve"> </w:t>
      </w:r>
      <w:r w:rsidRPr="00096561">
        <w:rPr>
          <w:rFonts w:cs="Arial"/>
        </w:rPr>
        <w:t>Cambridge Human Resources Information System</w:t>
      </w:r>
    </w:p>
  </w:footnote>
  <w:footnote w:id="25">
    <w:p w:rsidR="00F542D3" w:rsidRDefault="00F542D3" w:rsidP="00B523FF">
      <w:pPr>
        <w:pStyle w:val="FootnoteText"/>
      </w:pPr>
      <w:r>
        <w:rPr>
          <w:rStyle w:val="FootnoteReference"/>
        </w:rPr>
        <w:footnoteRef/>
      </w:r>
      <w:r>
        <w:t xml:space="preserve"> </w:t>
      </w:r>
      <w:r w:rsidRPr="00096561">
        <w:t>http://www.hesa.ac.uk/index.php</w:t>
      </w:r>
    </w:p>
  </w:footnote>
  <w:footnote w:id="26">
    <w:p w:rsidR="00F542D3" w:rsidRDefault="00F542D3" w:rsidP="00B523FF">
      <w:pPr>
        <w:pStyle w:val="FootnoteText"/>
      </w:pPr>
      <w:r>
        <w:rPr>
          <w:rStyle w:val="FootnoteReference"/>
        </w:rPr>
        <w:footnoteRef/>
      </w:r>
      <w:r>
        <w:t xml:space="preserve"> </w:t>
      </w:r>
      <w:r w:rsidRPr="00096561">
        <w:t>For details on all HESA staff categories go to http://www.hesa.ac.uk/dox/datacoll/C11025/11025.pdf?v=d41d8cd98f00b204e9800998ecf8427e</w:t>
      </w:r>
    </w:p>
  </w:footnote>
  <w:footnote w:id="27">
    <w:p w:rsidR="00F542D3" w:rsidRDefault="00F542D3" w:rsidP="00B523FF">
      <w:pPr>
        <w:pStyle w:val="FootnoteText"/>
      </w:pPr>
      <w:r>
        <w:rPr>
          <w:rStyle w:val="FootnoteReference"/>
        </w:rPr>
        <w:footnoteRef/>
      </w:r>
      <w:r>
        <w:t xml:space="preserve"> </w:t>
      </w:r>
      <w:r w:rsidRPr="00096561">
        <w:t>http://www.admin.cam.ac.uk/univ/so/2009/statute_d.html#heading2-1</w:t>
      </w:r>
    </w:p>
  </w:footnote>
  <w:footnote w:id="28">
    <w:p w:rsidR="00F542D3" w:rsidRDefault="00F542D3" w:rsidP="00B523FF">
      <w:pPr>
        <w:pStyle w:val="FootnoteText"/>
      </w:pPr>
      <w:r>
        <w:rPr>
          <w:rStyle w:val="FootnoteReference"/>
        </w:rPr>
        <w:footnoteRef/>
      </w:r>
      <w:r>
        <w:t xml:space="preserve"> </w:t>
      </w:r>
      <w:r w:rsidRPr="00C066D1">
        <w:t>http://www.hr.admin.cam.ac.uk/pay-benefits/salary-scales</w:t>
      </w:r>
    </w:p>
  </w:footnote>
  <w:footnote w:id="29">
    <w:p w:rsidR="00F542D3" w:rsidRDefault="00F542D3" w:rsidP="00B523FF">
      <w:pPr>
        <w:pStyle w:val="FootnoteText"/>
      </w:pPr>
      <w:r>
        <w:rPr>
          <w:rStyle w:val="FootnoteReference"/>
        </w:rPr>
        <w:footnoteRef/>
      </w:r>
      <w:r>
        <w:t xml:space="preserve"> </w:t>
      </w:r>
      <w:r w:rsidRPr="00096561">
        <w:t>Please note: Clinical Professors, Readers, University Lecturers, Senior Lecturers, Research Associates and Senior Research Associates have been mapped to the University’s grading system for the purposes of this information analysis.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2D3" w:rsidRPr="00731BE5" w:rsidRDefault="00B9633D">
    <w:pPr>
      <w:pStyle w:val="Header"/>
      <w:rPr>
        <w:rFonts w:ascii="Arial" w:hAnsi="Arial" w:cs="Arial"/>
        <w:sz w:val="20"/>
        <w:szCs w:val="20"/>
      </w:rPr>
    </w:pPr>
    <w:sdt>
      <w:sdtPr>
        <w:rPr>
          <w:rFonts w:ascii="Arial" w:hAnsi="Arial" w:cs="Arial"/>
          <w:sz w:val="20"/>
          <w:szCs w:val="20"/>
        </w:rPr>
        <w:id w:val="1419360625"/>
        <w:docPartObj>
          <w:docPartGallery w:val="Watermarks"/>
          <w:docPartUnique/>
        </w:docPartObj>
      </w:sdtPr>
      <w:sdtEndPr/>
      <w:sdtContent>
        <w:r>
          <w:rPr>
            <w:rFonts w:ascii="Arial" w:hAnsi="Arial" w:cs="Arial"/>
            <w:noProof/>
            <w:sz w:val="20"/>
            <w:szCs w:val="20"/>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542D3" w:rsidRPr="00731BE5">
      <w:rPr>
        <w:rFonts w:ascii="Arial" w:hAnsi="Arial" w:cs="Arial"/>
        <w:sz w:val="20"/>
        <w:szCs w:val="20"/>
      </w:rPr>
      <w:t>University of Cambridge Equalit</w:t>
    </w:r>
    <w:r w:rsidR="00F542D3">
      <w:rPr>
        <w:rFonts w:ascii="Arial" w:hAnsi="Arial" w:cs="Arial"/>
        <w:sz w:val="20"/>
        <w:szCs w:val="20"/>
      </w:rPr>
      <w:t>y &amp; Diversity Information Report 2013/14</w:t>
    </w:r>
  </w:p>
  <w:p w:rsidR="00F542D3" w:rsidRDefault="00F542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F0E7F"/>
    <w:multiLevelType w:val="hybridMultilevel"/>
    <w:tmpl w:val="8CDC4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910BC9"/>
    <w:multiLevelType w:val="hybridMultilevel"/>
    <w:tmpl w:val="9232E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827E35"/>
    <w:multiLevelType w:val="hybridMultilevel"/>
    <w:tmpl w:val="03B21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66325F"/>
    <w:multiLevelType w:val="hybridMultilevel"/>
    <w:tmpl w:val="5E1E1E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B22F0F"/>
    <w:multiLevelType w:val="hybridMultilevel"/>
    <w:tmpl w:val="1D78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0A0D44"/>
    <w:multiLevelType w:val="hybridMultilevel"/>
    <w:tmpl w:val="30FEE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9E7DAD"/>
    <w:multiLevelType w:val="hybridMultilevel"/>
    <w:tmpl w:val="3FD6589C"/>
    <w:lvl w:ilvl="0" w:tplc="6A9EA882">
      <w:start w:val="5"/>
      <w:numFmt w:val="bullet"/>
      <w:lvlText w:val="–"/>
      <w:lvlJc w:val="left"/>
      <w:pPr>
        <w:tabs>
          <w:tab w:val="num" w:pos="465"/>
        </w:tabs>
        <w:ind w:left="465"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3C802CC4"/>
    <w:multiLevelType w:val="hybridMultilevel"/>
    <w:tmpl w:val="17429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E1036AD"/>
    <w:multiLevelType w:val="hybridMultilevel"/>
    <w:tmpl w:val="ABFA49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50AE6600"/>
    <w:multiLevelType w:val="hybridMultilevel"/>
    <w:tmpl w:val="39306610"/>
    <w:lvl w:ilvl="0" w:tplc="6A9EA882">
      <w:start w:val="5"/>
      <w:numFmt w:val="bullet"/>
      <w:lvlText w:val="–"/>
      <w:lvlJc w:val="left"/>
      <w:pPr>
        <w:ind w:left="360" w:hanging="360"/>
      </w:pPr>
      <w:rPr>
        <w:rFonts w:ascii="Arial" w:eastAsia="Times New Roman" w:hAnsi="Aria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4296178"/>
    <w:multiLevelType w:val="hybridMultilevel"/>
    <w:tmpl w:val="C9C2A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980AC9"/>
    <w:multiLevelType w:val="hybridMultilevel"/>
    <w:tmpl w:val="9EE06D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56B438E"/>
    <w:multiLevelType w:val="hybridMultilevel"/>
    <w:tmpl w:val="260E4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6070F1F"/>
    <w:multiLevelType w:val="multilevel"/>
    <w:tmpl w:val="7026D886"/>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nsid w:val="59E157D0"/>
    <w:multiLevelType w:val="multilevel"/>
    <w:tmpl w:val="37481750"/>
    <w:lvl w:ilvl="0">
      <w:start w:val="1"/>
      <w:numFmt w:val="bullet"/>
      <w:lvlText w:val=""/>
      <w:lvlJc w:val="left"/>
      <w:pPr>
        <w:tabs>
          <w:tab w:val="num" w:pos="873"/>
        </w:tabs>
        <w:ind w:left="873" w:hanging="360"/>
      </w:pPr>
      <w:rPr>
        <w:rFonts w:ascii="Symbol" w:hAnsi="Symbol" w:hint="default"/>
        <w:sz w:val="20"/>
      </w:rPr>
    </w:lvl>
    <w:lvl w:ilvl="1" w:tentative="1">
      <w:start w:val="1"/>
      <w:numFmt w:val="bullet"/>
      <w:lvlText w:val=""/>
      <w:lvlJc w:val="left"/>
      <w:pPr>
        <w:tabs>
          <w:tab w:val="num" w:pos="1593"/>
        </w:tabs>
        <w:ind w:left="1593" w:hanging="360"/>
      </w:pPr>
      <w:rPr>
        <w:rFonts w:ascii="Wingdings" w:hAnsi="Wingdings" w:hint="default"/>
        <w:sz w:val="20"/>
      </w:rPr>
    </w:lvl>
    <w:lvl w:ilvl="2" w:tentative="1">
      <w:start w:val="1"/>
      <w:numFmt w:val="bullet"/>
      <w:lvlText w:val=""/>
      <w:lvlJc w:val="left"/>
      <w:pPr>
        <w:tabs>
          <w:tab w:val="num" w:pos="2313"/>
        </w:tabs>
        <w:ind w:left="2313" w:hanging="360"/>
      </w:pPr>
      <w:rPr>
        <w:rFonts w:ascii="Wingdings" w:hAnsi="Wingdings" w:hint="default"/>
        <w:sz w:val="20"/>
      </w:rPr>
    </w:lvl>
    <w:lvl w:ilvl="3" w:tentative="1">
      <w:start w:val="1"/>
      <w:numFmt w:val="bullet"/>
      <w:lvlText w:val=""/>
      <w:lvlJc w:val="left"/>
      <w:pPr>
        <w:tabs>
          <w:tab w:val="num" w:pos="3033"/>
        </w:tabs>
        <w:ind w:left="3033" w:hanging="360"/>
      </w:pPr>
      <w:rPr>
        <w:rFonts w:ascii="Wingdings" w:hAnsi="Wingdings" w:hint="default"/>
        <w:sz w:val="20"/>
      </w:rPr>
    </w:lvl>
    <w:lvl w:ilvl="4" w:tentative="1">
      <w:start w:val="1"/>
      <w:numFmt w:val="bullet"/>
      <w:lvlText w:val=""/>
      <w:lvlJc w:val="left"/>
      <w:pPr>
        <w:tabs>
          <w:tab w:val="num" w:pos="3753"/>
        </w:tabs>
        <w:ind w:left="3753" w:hanging="360"/>
      </w:pPr>
      <w:rPr>
        <w:rFonts w:ascii="Wingdings" w:hAnsi="Wingdings" w:hint="default"/>
        <w:sz w:val="20"/>
      </w:rPr>
    </w:lvl>
    <w:lvl w:ilvl="5" w:tentative="1">
      <w:start w:val="1"/>
      <w:numFmt w:val="bullet"/>
      <w:lvlText w:val=""/>
      <w:lvlJc w:val="left"/>
      <w:pPr>
        <w:tabs>
          <w:tab w:val="num" w:pos="4473"/>
        </w:tabs>
        <w:ind w:left="4473" w:hanging="360"/>
      </w:pPr>
      <w:rPr>
        <w:rFonts w:ascii="Wingdings" w:hAnsi="Wingdings" w:hint="default"/>
        <w:sz w:val="20"/>
      </w:rPr>
    </w:lvl>
    <w:lvl w:ilvl="6" w:tentative="1">
      <w:start w:val="1"/>
      <w:numFmt w:val="bullet"/>
      <w:lvlText w:val=""/>
      <w:lvlJc w:val="left"/>
      <w:pPr>
        <w:tabs>
          <w:tab w:val="num" w:pos="5193"/>
        </w:tabs>
        <w:ind w:left="5193" w:hanging="360"/>
      </w:pPr>
      <w:rPr>
        <w:rFonts w:ascii="Wingdings" w:hAnsi="Wingdings" w:hint="default"/>
        <w:sz w:val="20"/>
      </w:rPr>
    </w:lvl>
    <w:lvl w:ilvl="7" w:tentative="1">
      <w:start w:val="1"/>
      <w:numFmt w:val="bullet"/>
      <w:lvlText w:val=""/>
      <w:lvlJc w:val="left"/>
      <w:pPr>
        <w:tabs>
          <w:tab w:val="num" w:pos="5913"/>
        </w:tabs>
        <w:ind w:left="5913" w:hanging="360"/>
      </w:pPr>
      <w:rPr>
        <w:rFonts w:ascii="Wingdings" w:hAnsi="Wingdings" w:hint="default"/>
        <w:sz w:val="20"/>
      </w:rPr>
    </w:lvl>
    <w:lvl w:ilvl="8" w:tentative="1">
      <w:start w:val="1"/>
      <w:numFmt w:val="bullet"/>
      <w:lvlText w:val=""/>
      <w:lvlJc w:val="left"/>
      <w:pPr>
        <w:tabs>
          <w:tab w:val="num" w:pos="6633"/>
        </w:tabs>
        <w:ind w:left="6633" w:hanging="360"/>
      </w:pPr>
      <w:rPr>
        <w:rFonts w:ascii="Wingdings" w:hAnsi="Wingdings" w:hint="default"/>
        <w:sz w:val="20"/>
      </w:rPr>
    </w:lvl>
  </w:abstractNum>
  <w:abstractNum w:abstractNumId="15">
    <w:nsid w:val="67F022CC"/>
    <w:multiLevelType w:val="hybridMultilevel"/>
    <w:tmpl w:val="63589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97028F5"/>
    <w:multiLevelType w:val="hybridMultilevel"/>
    <w:tmpl w:val="13808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1"/>
  </w:num>
  <w:num w:numId="4">
    <w:abstractNumId w:val="14"/>
  </w:num>
  <w:num w:numId="5">
    <w:abstractNumId w:val="8"/>
  </w:num>
  <w:num w:numId="6">
    <w:abstractNumId w:val="3"/>
  </w:num>
  <w:num w:numId="7">
    <w:abstractNumId w:val="10"/>
  </w:num>
  <w:num w:numId="8">
    <w:abstractNumId w:val="0"/>
  </w:num>
  <w:num w:numId="9">
    <w:abstractNumId w:val="7"/>
  </w:num>
  <w:num w:numId="10">
    <w:abstractNumId w:val="4"/>
  </w:num>
  <w:num w:numId="11">
    <w:abstractNumId w:val="5"/>
  </w:num>
  <w:num w:numId="12">
    <w:abstractNumId w:val="12"/>
  </w:num>
  <w:num w:numId="13">
    <w:abstractNumId w:val="1"/>
  </w:num>
  <w:num w:numId="14">
    <w:abstractNumId w:val="17"/>
  </w:num>
  <w:num w:numId="15">
    <w:abstractNumId w:val="13"/>
  </w:num>
  <w:num w:numId="16">
    <w:abstractNumId w:val="15"/>
  </w:num>
  <w:num w:numId="17">
    <w:abstractNumId w:val="16"/>
  </w:num>
  <w:num w:numId="18">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D08"/>
    <w:rsid w:val="00000C32"/>
    <w:rsid w:val="000028A8"/>
    <w:rsid w:val="00002B40"/>
    <w:rsid w:val="00010A12"/>
    <w:rsid w:val="00016C48"/>
    <w:rsid w:val="00017644"/>
    <w:rsid w:val="0001783A"/>
    <w:rsid w:val="000256C4"/>
    <w:rsid w:val="00031559"/>
    <w:rsid w:val="000317EC"/>
    <w:rsid w:val="000326FA"/>
    <w:rsid w:val="000341DB"/>
    <w:rsid w:val="00034EC3"/>
    <w:rsid w:val="00035122"/>
    <w:rsid w:val="000405F9"/>
    <w:rsid w:val="000426BA"/>
    <w:rsid w:val="00044EEF"/>
    <w:rsid w:val="000458CD"/>
    <w:rsid w:val="000461DF"/>
    <w:rsid w:val="000461F6"/>
    <w:rsid w:val="000501B0"/>
    <w:rsid w:val="00052CF2"/>
    <w:rsid w:val="00055172"/>
    <w:rsid w:val="00055F3D"/>
    <w:rsid w:val="00061284"/>
    <w:rsid w:val="0006235C"/>
    <w:rsid w:val="00062AA9"/>
    <w:rsid w:val="00062CDA"/>
    <w:rsid w:val="00063004"/>
    <w:rsid w:val="0006479C"/>
    <w:rsid w:val="000651ED"/>
    <w:rsid w:val="000662ED"/>
    <w:rsid w:val="00066D90"/>
    <w:rsid w:val="00070314"/>
    <w:rsid w:val="00071409"/>
    <w:rsid w:val="00073708"/>
    <w:rsid w:val="00074D0A"/>
    <w:rsid w:val="000767B9"/>
    <w:rsid w:val="00077EEF"/>
    <w:rsid w:val="00080238"/>
    <w:rsid w:val="00080A1F"/>
    <w:rsid w:val="00081B56"/>
    <w:rsid w:val="000826F6"/>
    <w:rsid w:val="000841C2"/>
    <w:rsid w:val="000851CF"/>
    <w:rsid w:val="000906A8"/>
    <w:rsid w:val="00090B1B"/>
    <w:rsid w:val="00092179"/>
    <w:rsid w:val="00093F70"/>
    <w:rsid w:val="0009440F"/>
    <w:rsid w:val="00095527"/>
    <w:rsid w:val="00096561"/>
    <w:rsid w:val="00097454"/>
    <w:rsid w:val="000A05BE"/>
    <w:rsid w:val="000B0189"/>
    <w:rsid w:val="000B03A1"/>
    <w:rsid w:val="000B17C6"/>
    <w:rsid w:val="000B1B2F"/>
    <w:rsid w:val="000B1BBA"/>
    <w:rsid w:val="000B29F0"/>
    <w:rsid w:val="000B2AF6"/>
    <w:rsid w:val="000B2DF7"/>
    <w:rsid w:val="000B32FA"/>
    <w:rsid w:val="000B4369"/>
    <w:rsid w:val="000B4E69"/>
    <w:rsid w:val="000B57C7"/>
    <w:rsid w:val="000B75B3"/>
    <w:rsid w:val="000C2CD1"/>
    <w:rsid w:val="000D0167"/>
    <w:rsid w:val="000D0779"/>
    <w:rsid w:val="000D0DB2"/>
    <w:rsid w:val="000D0DC6"/>
    <w:rsid w:val="000D1686"/>
    <w:rsid w:val="000D340C"/>
    <w:rsid w:val="000D5D51"/>
    <w:rsid w:val="000D601B"/>
    <w:rsid w:val="000E1956"/>
    <w:rsid w:val="000E37A4"/>
    <w:rsid w:val="000E5D8F"/>
    <w:rsid w:val="000E6BF7"/>
    <w:rsid w:val="000F1956"/>
    <w:rsid w:val="000F245F"/>
    <w:rsid w:val="000F291A"/>
    <w:rsid w:val="000F39B5"/>
    <w:rsid w:val="000F4511"/>
    <w:rsid w:val="000F4809"/>
    <w:rsid w:val="00102BC6"/>
    <w:rsid w:val="00102F18"/>
    <w:rsid w:val="001047E8"/>
    <w:rsid w:val="00111594"/>
    <w:rsid w:val="0011262A"/>
    <w:rsid w:val="00114632"/>
    <w:rsid w:val="001259E7"/>
    <w:rsid w:val="001273C6"/>
    <w:rsid w:val="00127E73"/>
    <w:rsid w:val="00127E84"/>
    <w:rsid w:val="00132BF0"/>
    <w:rsid w:val="00135F7D"/>
    <w:rsid w:val="00136DF1"/>
    <w:rsid w:val="00137165"/>
    <w:rsid w:val="0014086F"/>
    <w:rsid w:val="00144CB6"/>
    <w:rsid w:val="00145BC4"/>
    <w:rsid w:val="00147258"/>
    <w:rsid w:val="0014754F"/>
    <w:rsid w:val="00151A6B"/>
    <w:rsid w:val="00151CAE"/>
    <w:rsid w:val="001531CB"/>
    <w:rsid w:val="001553CB"/>
    <w:rsid w:val="00155405"/>
    <w:rsid w:val="00162158"/>
    <w:rsid w:val="001629E3"/>
    <w:rsid w:val="00165EF3"/>
    <w:rsid w:val="00166C8E"/>
    <w:rsid w:val="00170247"/>
    <w:rsid w:val="00170566"/>
    <w:rsid w:val="00170A28"/>
    <w:rsid w:val="0017564C"/>
    <w:rsid w:val="00176CC1"/>
    <w:rsid w:val="001805CD"/>
    <w:rsid w:val="001822A7"/>
    <w:rsid w:val="001823DB"/>
    <w:rsid w:val="00184CE9"/>
    <w:rsid w:val="001918EA"/>
    <w:rsid w:val="00192EC8"/>
    <w:rsid w:val="0019383B"/>
    <w:rsid w:val="00195FFB"/>
    <w:rsid w:val="001A1F67"/>
    <w:rsid w:val="001A2CC2"/>
    <w:rsid w:val="001A619F"/>
    <w:rsid w:val="001A6CD4"/>
    <w:rsid w:val="001B09C8"/>
    <w:rsid w:val="001B7394"/>
    <w:rsid w:val="001C1B53"/>
    <w:rsid w:val="001C1D50"/>
    <w:rsid w:val="001C2098"/>
    <w:rsid w:val="001C70F6"/>
    <w:rsid w:val="001D0A8E"/>
    <w:rsid w:val="001D2015"/>
    <w:rsid w:val="001D27BC"/>
    <w:rsid w:val="001D2EEB"/>
    <w:rsid w:val="001D3294"/>
    <w:rsid w:val="001D526F"/>
    <w:rsid w:val="001D5E39"/>
    <w:rsid w:val="001D691A"/>
    <w:rsid w:val="001D71A1"/>
    <w:rsid w:val="001D7758"/>
    <w:rsid w:val="001E1114"/>
    <w:rsid w:val="001E3137"/>
    <w:rsid w:val="001E6F7D"/>
    <w:rsid w:val="001E71D0"/>
    <w:rsid w:val="001E7B92"/>
    <w:rsid w:val="001F141F"/>
    <w:rsid w:val="001F3827"/>
    <w:rsid w:val="001F50ED"/>
    <w:rsid w:val="001F615D"/>
    <w:rsid w:val="00200E2E"/>
    <w:rsid w:val="00201F9E"/>
    <w:rsid w:val="00203115"/>
    <w:rsid w:val="002041D8"/>
    <w:rsid w:val="00204597"/>
    <w:rsid w:val="0020478D"/>
    <w:rsid w:val="00205BC7"/>
    <w:rsid w:val="00210FA7"/>
    <w:rsid w:val="00213E11"/>
    <w:rsid w:val="002144BE"/>
    <w:rsid w:val="00214BF8"/>
    <w:rsid w:val="00216E12"/>
    <w:rsid w:val="002174A2"/>
    <w:rsid w:val="002175CB"/>
    <w:rsid w:val="00217CA8"/>
    <w:rsid w:val="002205A4"/>
    <w:rsid w:val="002221FE"/>
    <w:rsid w:val="002229B9"/>
    <w:rsid w:val="00224161"/>
    <w:rsid w:val="002258F4"/>
    <w:rsid w:val="00226FDB"/>
    <w:rsid w:val="0023298E"/>
    <w:rsid w:val="00233BD0"/>
    <w:rsid w:val="00234262"/>
    <w:rsid w:val="002403C1"/>
    <w:rsid w:val="00241F0D"/>
    <w:rsid w:val="002449C3"/>
    <w:rsid w:val="00246B18"/>
    <w:rsid w:val="002532D8"/>
    <w:rsid w:val="002626EC"/>
    <w:rsid w:val="00263CF1"/>
    <w:rsid w:val="00264AAA"/>
    <w:rsid w:val="0026786C"/>
    <w:rsid w:val="00273B62"/>
    <w:rsid w:val="0027662C"/>
    <w:rsid w:val="002775A6"/>
    <w:rsid w:val="00280839"/>
    <w:rsid w:val="00282749"/>
    <w:rsid w:val="0028360B"/>
    <w:rsid w:val="00284E29"/>
    <w:rsid w:val="00293723"/>
    <w:rsid w:val="0029389D"/>
    <w:rsid w:val="0029522B"/>
    <w:rsid w:val="00296B4A"/>
    <w:rsid w:val="00296FFE"/>
    <w:rsid w:val="00297467"/>
    <w:rsid w:val="002A3EF4"/>
    <w:rsid w:val="002A48F7"/>
    <w:rsid w:val="002A4EEC"/>
    <w:rsid w:val="002A54D5"/>
    <w:rsid w:val="002A6692"/>
    <w:rsid w:val="002A76F3"/>
    <w:rsid w:val="002B01AC"/>
    <w:rsid w:val="002B0E5A"/>
    <w:rsid w:val="002B14C5"/>
    <w:rsid w:val="002D24FF"/>
    <w:rsid w:val="002D2ACB"/>
    <w:rsid w:val="002D38EE"/>
    <w:rsid w:val="002E019E"/>
    <w:rsid w:val="002E3398"/>
    <w:rsid w:val="002E4BD9"/>
    <w:rsid w:val="002E73B6"/>
    <w:rsid w:val="002F5E13"/>
    <w:rsid w:val="00300195"/>
    <w:rsid w:val="00300378"/>
    <w:rsid w:val="003006A6"/>
    <w:rsid w:val="00303428"/>
    <w:rsid w:val="00310D80"/>
    <w:rsid w:val="0031206F"/>
    <w:rsid w:val="003141DC"/>
    <w:rsid w:val="00315B38"/>
    <w:rsid w:val="00315F3D"/>
    <w:rsid w:val="003179DF"/>
    <w:rsid w:val="0032354C"/>
    <w:rsid w:val="00323A10"/>
    <w:rsid w:val="00330000"/>
    <w:rsid w:val="00331912"/>
    <w:rsid w:val="003319FE"/>
    <w:rsid w:val="0033267E"/>
    <w:rsid w:val="0033708C"/>
    <w:rsid w:val="003400D2"/>
    <w:rsid w:val="00340832"/>
    <w:rsid w:val="003429FB"/>
    <w:rsid w:val="00344706"/>
    <w:rsid w:val="00345B59"/>
    <w:rsid w:val="00346096"/>
    <w:rsid w:val="00347D4E"/>
    <w:rsid w:val="0035447B"/>
    <w:rsid w:val="00355BB2"/>
    <w:rsid w:val="00357A98"/>
    <w:rsid w:val="0036150D"/>
    <w:rsid w:val="00361C9A"/>
    <w:rsid w:val="00362938"/>
    <w:rsid w:val="003639EA"/>
    <w:rsid w:val="00363E24"/>
    <w:rsid w:val="003706FE"/>
    <w:rsid w:val="003710E6"/>
    <w:rsid w:val="0037299C"/>
    <w:rsid w:val="00373567"/>
    <w:rsid w:val="003746F3"/>
    <w:rsid w:val="00377239"/>
    <w:rsid w:val="00377AAF"/>
    <w:rsid w:val="00381D1B"/>
    <w:rsid w:val="00382DB2"/>
    <w:rsid w:val="00383606"/>
    <w:rsid w:val="003919A9"/>
    <w:rsid w:val="00391F76"/>
    <w:rsid w:val="00392763"/>
    <w:rsid w:val="00394995"/>
    <w:rsid w:val="00395772"/>
    <w:rsid w:val="00395927"/>
    <w:rsid w:val="003963C9"/>
    <w:rsid w:val="00396614"/>
    <w:rsid w:val="0039757B"/>
    <w:rsid w:val="0039781E"/>
    <w:rsid w:val="003A0688"/>
    <w:rsid w:val="003A0819"/>
    <w:rsid w:val="003A2D4E"/>
    <w:rsid w:val="003A5104"/>
    <w:rsid w:val="003A51BA"/>
    <w:rsid w:val="003A53FA"/>
    <w:rsid w:val="003B00CE"/>
    <w:rsid w:val="003B0969"/>
    <w:rsid w:val="003B2E29"/>
    <w:rsid w:val="003B30B8"/>
    <w:rsid w:val="003B402D"/>
    <w:rsid w:val="003B458B"/>
    <w:rsid w:val="003C2814"/>
    <w:rsid w:val="003C2E9A"/>
    <w:rsid w:val="003C4E8F"/>
    <w:rsid w:val="003C640E"/>
    <w:rsid w:val="003C699A"/>
    <w:rsid w:val="003C6E8E"/>
    <w:rsid w:val="003D0037"/>
    <w:rsid w:val="003D18DA"/>
    <w:rsid w:val="003D2265"/>
    <w:rsid w:val="003D348F"/>
    <w:rsid w:val="003D42DE"/>
    <w:rsid w:val="003D5AE0"/>
    <w:rsid w:val="003D6180"/>
    <w:rsid w:val="003E06B9"/>
    <w:rsid w:val="003E152E"/>
    <w:rsid w:val="003E16E6"/>
    <w:rsid w:val="003E270F"/>
    <w:rsid w:val="003E4695"/>
    <w:rsid w:val="003E6233"/>
    <w:rsid w:val="003E6ABE"/>
    <w:rsid w:val="003F205A"/>
    <w:rsid w:val="003F4C56"/>
    <w:rsid w:val="003F6A15"/>
    <w:rsid w:val="00404894"/>
    <w:rsid w:val="0041203F"/>
    <w:rsid w:val="0041346D"/>
    <w:rsid w:val="00413AB8"/>
    <w:rsid w:val="004166AB"/>
    <w:rsid w:val="00420921"/>
    <w:rsid w:val="0042112F"/>
    <w:rsid w:val="0042185E"/>
    <w:rsid w:val="00424104"/>
    <w:rsid w:val="00427255"/>
    <w:rsid w:val="0042794F"/>
    <w:rsid w:val="00431DD1"/>
    <w:rsid w:val="00433575"/>
    <w:rsid w:val="004376CB"/>
    <w:rsid w:val="00440A80"/>
    <w:rsid w:val="0044126C"/>
    <w:rsid w:val="00442AC0"/>
    <w:rsid w:val="00443020"/>
    <w:rsid w:val="00450FD5"/>
    <w:rsid w:val="004530D7"/>
    <w:rsid w:val="00455174"/>
    <w:rsid w:val="00461B10"/>
    <w:rsid w:val="004630B8"/>
    <w:rsid w:val="00464F69"/>
    <w:rsid w:val="004656C8"/>
    <w:rsid w:val="00467465"/>
    <w:rsid w:val="00467537"/>
    <w:rsid w:val="0047099E"/>
    <w:rsid w:val="00470B34"/>
    <w:rsid w:val="00472598"/>
    <w:rsid w:val="004729DD"/>
    <w:rsid w:val="004738B7"/>
    <w:rsid w:val="004754B8"/>
    <w:rsid w:val="00477CCD"/>
    <w:rsid w:val="0048104D"/>
    <w:rsid w:val="004811A5"/>
    <w:rsid w:val="00483151"/>
    <w:rsid w:val="00483B29"/>
    <w:rsid w:val="0048545D"/>
    <w:rsid w:val="00491281"/>
    <w:rsid w:val="00491464"/>
    <w:rsid w:val="00491559"/>
    <w:rsid w:val="00492BDE"/>
    <w:rsid w:val="0049669E"/>
    <w:rsid w:val="004A4740"/>
    <w:rsid w:val="004A4C03"/>
    <w:rsid w:val="004A51D4"/>
    <w:rsid w:val="004B1039"/>
    <w:rsid w:val="004B5AD1"/>
    <w:rsid w:val="004C0CE1"/>
    <w:rsid w:val="004C2FFA"/>
    <w:rsid w:val="004C737D"/>
    <w:rsid w:val="004C7FEC"/>
    <w:rsid w:val="004D0054"/>
    <w:rsid w:val="004D0C29"/>
    <w:rsid w:val="004D117C"/>
    <w:rsid w:val="004D164E"/>
    <w:rsid w:val="004D2DDE"/>
    <w:rsid w:val="004D2EFF"/>
    <w:rsid w:val="004D67D8"/>
    <w:rsid w:val="004D7903"/>
    <w:rsid w:val="004D7F22"/>
    <w:rsid w:val="004E11FC"/>
    <w:rsid w:val="004E156D"/>
    <w:rsid w:val="004E46E4"/>
    <w:rsid w:val="004E75E3"/>
    <w:rsid w:val="004E76A0"/>
    <w:rsid w:val="004F0AF5"/>
    <w:rsid w:val="004F3B1B"/>
    <w:rsid w:val="004F42D2"/>
    <w:rsid w:val="004F65DF"/>
    <w:rsid w:val="004F6658"/>
    <w:rsid w:val="00500CF1"/>
    <w:rsid w:val="00501C6B"/>
    <w:rsid w:val="00504450"/>
    <w:rsid w:val="00510E4C"/>
    <w:rsid w:val="00511E10"/>
    <w:rsid w:val="00511E45"/>
    <w:rsid w:val="0051263E"/>
    <w:rsid w:val="00512902"/>
    <w:rsid w:val="00512C60"/>
    <w:rsid w:val="00512E3A"/>
    <w:rsid w:val="0051362E"/>
    <w:rsid w:val="00514033"/>
    <w:rsid w:val="00521C6D"/>
    <w:rsid w:val="005224CF"/>
    <w:rsid w:val="005254A0"/>
    <w:rsid w:val="00530D5D"/>
    <w:rsid w:val="005317C2"/>
    <w:rsid w:val="00533F25"/>
    <w:rsid w:val="00535F19"/>
    <w:rsid w:val="0053608A"/>
    <w:rsid w:val="005368D0"/>
    <w:rsid w:val="00537053"/>
    <w:rsid w:val="00537BD6"/>
    <w:rsid w:val="005409E5"/>
    <w:rsid w:val="0054303C"/>
    <w:rsid w:val="00545137"/>
    <w:rsid w:val="00545E7D"/>
    <w:rsid w:val="0054673D"/>
    <w:rsid w:val="00546802"/>
    <w:rsid w:val="00547100"/>
    <w:rsid w:val="0055117D"/>
    <w:rsid w:val="00552750"/>
    <w:rsid w:val="00553C3C"/>
    <w:rsid w:val="005622CD"/>
    <w:rsid w:val="00562A44"/>
    <w:rsid w:val="0056377B"/>
    <w:rsid w:val="00564BAA"/>
    <w:rsid w:val="005669AB"/>
    <w:rsid w:val="00567BDB"/>
    <w:rsid w:val="00570698"/>
    <w:rsid w:val="00571F0D"/>
    <w:rsid w:val="00572605"/>
    <w:rsid w:val="00573183"/>
    <w:rsid w:val="005738E6"/>
    <w:rsid w:val="00575519"/>
    <w:rsid w:val="00577812"/>
    <w:rsid w:val="00583629"/>
    <w:rsid w:val="00583D82"/>
    <w:rsid w:val="00584132"/>
    <w:rsid w:val="0058717C"/>
    <w:rsid w:val="00590AAA"/>
    <w:rsid w:val="00592992"/>
    <w:rsid w:val="00593EE1"/>
    <w:rsid w:val="00594299"/>
    <w:rsid w:val="005943CB"/>
    <w:rsid w:val="005970A9"/>
    <w:rsid w:val="005A300E"/>
    <w:rsid w:val="005A43A5"/>
    <w:rsid w:val="005A5087"/>
    <w:rsid w:val="005A5AC7"/>
    <w:rsid w:val="005B09D1"/>
    <w:rsid w:val="005B1200"/>
    <w:rsid w:val="005B2748"/>
    <w:rsid w:val="005B297B"/>
    <w:rsid w:val="005B7F39"/>
    <w:rsid w:val="005C0F9C"/>
    <w:rsid w:val="005C4645"/>
    <w:rsid w:val="005C4D17"/>
    <w:rsid w:val="005C5075"/>
    <w:rsid w:val="005C51C7"/>
    <w:rsid w:val="005C6869"/>
    <w:rsid w:val="005C6CFD"/>
    <w:rsid w:val="005D092C"/>
    <w:rsid w:val="005D1CDC"/>
    <w:rsid w:val="005D33CF"/>
    <w:rsid w:val="005D5017"/>
    <w:rsid w:val="005E06D1"/>
    <w:rsid w:val="005E0C52"/>
    <w:rsid w:val="005E242C"/>
    <w:rsid w:val="005E386A"/>
    <w:rsid w:val="005E54BC"/>
    <w:rsid w:val="005F13F0"/>
    <w:rsid w:val="005F3E30"/>
    <w:rsid w:val="005F46D9"/>
    <w:rsid w:val="005F7E4A"/>
    <w:rsid w:val="0060136B"/>
    <w:rsid w:val="00601407"/>
    <w:rsid w:val="006056DD"/>
    <w:rsid w:val="006069F7"/>
    <w:rsid w:val="00606B43"/>
    <w:rsid w:val="00606C23"/>
    <w:rsid w:val="00606E03"/>
    <w:rsid w:val="006070DA"/>
    <w:rsid w:val="006104C6"/>
    <w:rsid w:val="00611732"/>
    <w:rsid w:val="006129DC"/>
    <w:rsid w:val="00613D63"/>
    <w:rsid w:val="00615F71"/>
    <w:rsid w:val="0061621A"/>
    <w:rsid w:val="006166C8"/>
    <w:rsid w:val="00616D6E"/>
    <w:rsid w:val="00624269"/>
    <w:rsid w:val="00624FEA"/>
    <w:rsid w:val="006263E1"/>
    <w:rsid w:val="00626597"/>
    <w:rsid w:val="00627840"/>
    <w:rsid w:val="00630A01"/>
    <w:rsid w:val="0063383C"/>
    <w:rsid w:val="006348AD"/>
    <w:rsid w:val="00635D42"/>
    <w:rsid w:val="00636074"/>
    <w:rsid w:val="006366CC"/>
    <w:rsid w:val="00640335"/>
    <w:rsid w:val="00642BF4"/>
    <w:rsid w:val="006468A3"/>
    <w:rsid w:val="006517F3"/>
    <w:rsid w:val="006602E6"/>
    <w:rsid w:val="00661538"/>
    <w:rsid w:val="00662B07"/>
    <w:rsid w:val="00663CC0"/>
    <w:rsid w:val="00664CBC"/>
    <w:rsid w:val="00665212"/>
    <w:rsid w:val="006707E6"/>
    <w:rsid w:val="00670FE1"/>
    <w:rsid w:val="00676358"/>
    <w:rsid w:val="00677116"/>
    <w:rsid w:val="00677BD8"/>
    <w:rsid w:val="006809FF"/>
    <w:rsid w:val="00680E29"/>
    <w:rsid w:val="00680F0A"/>
    <w:rsid w:val="00681A13"/>
    <w:rsid w:val="00683983"/>
    <w:rsid w:val="0068401C"/>
    <w:rsid w:val="00684904"/>
    <w:rsid w:val="0069053A"/>
    <w:rsid w:val="00693531"/>
    <w:rsid w:val="006953F3"/>
    <w:rsid w:val="00695BB1"/>
    <w:rsid w:val="006A17D0"/>
    <w:rsid w:val="006A388C"/>
    <w:rsid w:val="006A4361"/>
    <w:rsid w:val="006A5F8C"/>
    <w:rsid w:val="006A614B"/>
    <w:rsid w:val="006B1B87"/>
    <w:rsid w:val="006B23A0"/>
    <w:rsid w:val="006B2DA1"/>
    <w:rsid w:val="006B4B15"/>
    <w:rsid w:val="006B5E56"/>
    <w:rsid w:val="006B6E3E"/>
    <w:rsid w:val="006B77C8"/>
    <w:rsid w:val="006C2592"/>
    <w:rsid w:val="006C3024"/>
    <w:rsid w:val="006C3E67"/>
    <w:rsid w:val="006C64B2"/>
    <w:rsid w:val="006C728D"/>
    <w:rsid w:val="006D2F54"/>
    <w:rsid w:val="006D5CA4"/>
    <w:rsid w:val="006D6F78"/>
    <w:rsid w:val="006D6FD4"/>
    <w:rsid w:val="006E014C"/>
    <w:rsid w:val="006E0EBA"/>
    <w:rsid w:val="006E4B90"/>
    <w:rsid w:val="006E680B"/>
    <w:rsid w:val="006F2A27"/>
    <w:rsid w:val="006F3665"/>
    <w:rsid w:val="006F3863"/>
    <w:rsid w:val="006F4A3A"/>
    <w:rsid w:val="006F5039"/>
    <w:rsid w:val="006F5876"/>
    <w:rsid w:val="007025AD"/>
    <w:rsid w:val="00703F45"/>
    <w:rsid w:val="00704E10"/>
    <w:rsid w:val="00707265"/>
    <w:rsid w:val="00712DA8"/>
    <w:rsid w:val="0071375B"/>
    <w:rsid w:val="007164FD"/>
    <w:rsid w:val="00717F7E"/>
    <w:rsid w:val="00731BE5"/>
    <w:rsid w:val="00734B51"/>
    <w:rsid w:val="007359FF"/>
    <w:rsid w:val="00735E38"/>
    <w:rsid w:val="007370C8"/>
    <w:rsid w:val="007379DB"/>
    <w:rsid w:val="00741833"/>
    <w:rsid w:val="00742B97"/>
    <w:rsid w:val="00743D98"/>
    <w:rsid w:val="00744F5F"/>
    <w:rsid w:val="00747084"/>
    <w:rsid w:val="00750015"/>
    <w:rsid w:val="00753026"/>
    <w:rsid w:val="00753A75"/>
    <w:rsid w:val="00756F0D"/>
    <w:rsid w:val="007630FE"/>
    <w:rsid w:val="00763426"/>
    <w:rsid w:val="00765DB6"/>
    <w:rsid w:val="00770A52"/>
    <w:rsid w:val="007715D8"/>
    <w:rsid w:val="00774E93"/>
    <w:rsid w:val="007836CA"/>
    <w:rsid w:val="00784AF0"/>
    <w:rsid w:val="00784F84"/>
    <w:rsid w:val="00786411"/>
    <w:rsid w:val="007868D5"/>
    <w:rsid w:val="0079220C"/>
    <w:rsid w:val="00792508"/>
    <w:rsid w:val="00792B2E"/>
    <w:rsid w:val="00792FEF"/>
    <w:rsid w:val="007941C8"/>
    <w:rsid w:val="007944C5"/>
    <w:rsid w:val="00796E0F"/>
    <w:rsid w:val="007A15A3"/>
    <w:rsid w:val="007A2ED6"/>
    <w:rsid w:val="007A5EA9"/>
    <w:rsid w:val="007A6C35"/>
    <w:rsid w:val="007B212E"/>
    <w:rsid w:val="007B3487"/>
    <w:rsid w:val="007B4E9E"/>
    <w:rsid w:val="007B5BFE"/>
    <w:rsid w:val="007C15C6"/>
    <w:rsid w:val="007C15D1"/>
    <w:rsid w:val="007C1A79"/>
    <w:rsid w:val="007C1D74"/>
    <w:rsid w:val="007C220E"/>
    <w:rsid w:val="007C2699"/>
    <w:rsid w:val="007C6165"/>
    <w:rsid w:val="007D0BCA"/>
    <w:rsid w:val="007D0D9A"/>
    <w:rsid w:val="007D1868"/>
    <w:rsid w:val="007D1C40"/>
    <w:rsid w:val="007D270E"/>
    <w:rsid w:val="007D3C84"/>
    <w:rsid w:val="007D5E58"/>
    <w:rsid w:val="007D699E"/>
    <w:rsid w:val="007E0B04"/>
    <w:rsid w:val="007E1A5E"/>
    <w:rsid w:val="007E379A"/>
    <w:rsid w:val="007F0875"/>
    <w:rsid w:val="007F2C95"/>
    <w:rsid w:val="007F4593"/>
    <w:rsid w:val="007F4CE2"/>
    <w:rsid w:val="007F7766"/>
    <w:rsid w:val="00800A90"/>
    <w:rsid w:val="0080244F"/>
    <w:rsid w:val="008031EB"/>
    <w:rsid w:val="0080384E"/>
    <w:rsid w:val="00803B65"/>
    <w:rsid w:val="00810803"/>
    <w:rsid w:val="00815474"/>
    <w:rsid w:val="00816117"/>
    <w:rsid w:val="00817EF2"/>
    <w:rsid w:val="008218FB"/>
    <w:rsid w:val="00823F2B"/>
    <w:rsid w:val="00824F28"/>
    <w:rsid w:val="0082651F"/>
    <w:rsid w:val="008268FF"/>
    <w:rsid w:val="00826A69"/>
    <w:rsid w:val="00831078"/>
    <w:rsid w:val="00835550"/>
    <w:rsid w:val="0083681F"/>
    <w:rsid w:val="008369CD"/>
    <w:rsid w:val="008416DC"/>
    <w:rsid w:val="0084202D"/>
    <w:rsid w:val="0084430B"/>
    <w:rsid w:val="008444EB"/>
    <w:rsid w:val="00845AE3"/>
    <w:rsid w:val="00846688"/>
    <w:rsid w:val="00847AAA"/>
    <w:rsid w:val="008514FA"/>
    <w:rsid w:val="008517FD"/>
    <w:rsid w:val="00852C4E"/>
    <w:rsid w:val="00855960"/>
    <w:rsid w:val="00857CB7"/>
    <w:rsid w:val="0086026D"/>
    <w:rsid w:val="00861031"/>
    <w:rsid w:val="00861B24"/>
    <w:rsid w:val="008714DE"/>
    <w:rsid w:val="00874A5A"/>
    <w:rsid w:val="0087599F"/>
    <w:rsid w:val="00875D4B"/>
    <w:rsid w:val="00877034"/>
    <w:rsid w:val="008824E0"/>
    <w:rsid w:val="00890681"/>
    <w:rsid w:val="008916EA"/>
    <w:rsid w:val="00892171"/>
    <w:rsid w:val="008937C6"/>
    <w:rsid w:val="00893AFA"/>
    <w:rsid w:val="0089470B"/>
    <w:rsid w:val="00896A2A"/>
    <w:rsid w:val="00896A92"/>
    <w:rsid w:val="00897120"/>
    <w:rsid w:val="008A14DF"/>
    <w:rsid w:val="008A2811"/>
    <w:rsid w:val="008A2EB7"/>
    <w:rsid w:val="008A5C08"/>
    <w:rsid w:val="008A62B7"/>
    <w:rsid w:val="008A6502"/>
    <w:rsid w:val="008A6BFE"/>
    <w:rsid w:val="008B08DE"/>
    <w:rsid w:val="008B17D6"/>
    <w:rsid w:val="008B304A"/>
    <w:rsid w:val="008B344B"/>
    <w:rsid w:val="008B3A05"/>
    <w:rsid w:val="008B56FC"/>
    <w:rsid w:val="008B581A"/>
    <w:rsid w:val="008C53B6"/>
    <w:rsid w:val="008C5FDC"/>
    <w:rsid w:val="008D0D9F"/>
    <w:rsid w:val="008D526E"/>
    <w:rsid w:val="008D623A"/>
    <w:rsid w:val="008D6601"/>
    <w:rsid w:val="008D732E"/>
    <w:rsid w:val="008D78A1"/>
    <w:rsid w:val="008E22AC"/>
    <w:rsid w:val="008E5065"/>
    <w:rsid w:val="008E5D84"/>
    <w:rsid w:val="008E612B"/>
    <w:rsid w:val="008E6226"/>
    <w:rsid w:val="008E7967"/>
    <w:rsid w:val="008F0B27"/>
    <w:rsid w:val="008F2B41"/>
    <w:rsid w:val="008F2F5D"/>
    <w:rsid w:val="008F4D21"/>
    <w:rsid w:val="00901BCE"/>
    <w:rsid w:val="00902AAC"/>
    <w:rsid w:val="00905E6D"/>
    <w:rsid w:val="00906AA6"/>
    <w:rsid w:val="00910248"/>
    <w:rsid w:val="00910CC2"/>
    <w:rsid w:val="009131C1"/>
    <w:rsid w:val="00921383"/>
    <w:rsid w:val="00921B4B"/>
    <w:rsid w:val="00924024"/>
    <w:rsid w:val="009245D3"/>
    <w:rsid w:val="0092593C"/>
    <w:rsid w:val="00932262"/>
    <w:rsid w:val="0093228C"/>
    <w:rsid w:val="00932A82"/>
    <w:rsid w:val="00934913"/>
    <w:rsid w:val="00935603"/>
    <w:rsid w:val="00941873"/>
    <w:rsid w:val="009433A4"/>
    <w:rsid w:val="009454F8"/>
    <w:rsid w:val="009465C8"/>
    <w:rsid w:val="00952211"/>
    <w:rsid w:val="009530BE"/>
    <w:rsid w:val="009535D8"/>
    <w:rsid w:val="00953704"/>
    <w:rsid w:val="0095389F"/>
    <w:rsid w:val="00957D02"/>
    <w:rsid w:val="00962779"/>
    <w:rsid w:val="0096396D"/>
    <w:rsid w:val="00970086"/>
    <w:rsid w:val="0097050D"/>
    <w:rsid w:val="00971228"/>
    <w:rsid w:val="00974AF6"/>
    <w:rsid w:val="00974B1E"/>
    <w:rsid w:val="009765DF"/>
    <w:rsid w:val="009778A1"/>
    <w:rsid w:val="0098450A"/>
    <w:rsid w:val="00985C9A"/>
    <w:rsid w:val="009863CC"/>
    <w:rsid w:val="0098699D"/>
    <w:rsid w:val="00990A1F"/>
    <w:rsid w:val="009955AA"/>
    <w:rsid w:val="00996BF1"/>
    <w:rsid w:val="00996D4C"/>
    <w:rsid w:val="009A0153"/>
    <w:rsid w:val="009A057E"/>
    <w:rsid w:val="009A0889"/>
    <w:rsid w:val="009A21C6"/>
    <w:rsid w:val="009A579D"/>
    <w:rsid w:val="009B01D3"/>
    <w:rsid w:val="009B1E32"/>
    <w:rsid w:val="009B2EFF"/>
    <w:rsid w:val="009B3B1B"/>
    <w:rsid w:val="009B429A"/>
    <w:rsid w:val="009B63F7"/>
    <w:rsid w:val="009C1026"/>
    <w:rsid w:val="009C1529"/>
    <w:rsid w:val="009C155B"/>
    <w:rsid w:val="009C4CD5"/>
    <w:rsid w:val="009C602F"/>
    <w:rsid w:val="009C60E1"/>
    <w:rsid w:val="009D3574"/>
    <w:rsid w:val="009D741A"/>
    <w:rsid w:val="009E1012"/>
    <w:rsid w:val="009E24DB"/>
    <w:rsid w:val="009E3555"/>
    <w:rsid w:val="009E6AF1"/>
    <w:rsid w:val="009F0608"/>
    <w:rsid w:val="009F1102"/>
    <w:rsid w:val="009F3784"/>
    <w:rsid w:val="00A0097B"/>
    <w:rsid w:val="00A00B0A"/>
    <w:rsid w:val="00A01AB9"/>
    <w:rsid w:val="00A0243C"/>
    <w:rsid w:val="00A07B30"/>
    <w:rsid w:val="00A07E9F"/>
    <w:rsid w:val="00A07EAE"/>
    <w:rsid w:val="00A16095"/>
    <w:rsid w:val="00A16BEC"/>
    <w:rsid w:val="00A17E4A"/>
    <w:rsid w:val="00A213E5"/>
    <w:rsid w:val="00A3096B"/>
    <w:rsid w:val="00A32D0E"/>
    <w:rsid w:val="00A367C4"/>
    <w:rsid w:val="00A368A8"/>
    <w:rsid w:val="00A41C7B"/>
    <w:rsid w:val="00A50893"/>
    <w:rsid w:val="00A52313"/>
    <w:rsid w:val="00A53589"/>
    <w:rsid w:val="00A56E04"/>
    <w:rsid w:val="00A57AEE"/>
    <w:rsid w:val="00A60075"/>
    <w:rsid w:val="00A608D9"/>
    <w:rsid w:val="00A6123B"/>
    <w:rsid w:val="00A6162E"/>
    <w:rsid w:val="00A62B23"/>
    <w:rsid w:val="00A70B79"/>
    <w:rsid w:val="00A717EE"/>
    <w:rsid w:val="00A727CC"/>
    <w:rsid w:val="00A7287E"/>
    <w:rsid w:val="00A729B4"/>
    <w:rsid w:val="00A75445"/>
    <w:rsid w:val="00A75EF9"/>
    <w:rsid w:val="00A771FB"/>
    <w:rsid w:val="00A7792B"/>
    <w:rsid w:val="00A80655"/>
    <w:rsid w:val="00A80C3F"/>
    <w:rsid w:val="00A80C89"/>
    <w:rsid w:val="00A81787"/>
    <w:rsid w:val="00A82949"/>
    <w:rsid w:val="00A83B9D"/>
    <w:rsid w:val="00A91175"/>
    <w:rsid w:val="00A91CD8"/>
    <w:rsid w:val="00A93B1C"/>
    <w:rsid w:val="00A97AA3"/>
    <w:rsid w:val="00AA093C"/>
    <w:rsid w:val="00AA204B"/>
    <w:rsid w:val="00AA2856"/>
    <w:rsid w:val="00AA34E8"/>
    <w:rsid w:val="00AA7A93"/>
    <w:rsid w:val="00AB4488"/>
    <w:rsid w:val="00AB539B"/>
    <w:rsid w:val="00AB7354"/>
    <w:rsid w:val="00AC661E"/>
    <w:rsid w:val="00AD22A2"/>
    <w:rsid w:val="00AD4571"/>
    <w:rsid w:val="00AD49D9"/>
    <w:rsid w:val="00AD7855"/>
    <w:rsid w:val="00AE2D4C"/>
    <w:rsid w:val="00AE4B3E"/>
    <w:rsid w:val="00AE4B48"/>
    <w:rsid w:val="00AF288E"/>
    <w:rsid w:val="00AF2D09"/>
    <w:rsid w:val="00AF2E35"/>
    <w:rsid w:val="00AF4D3C"/>
    <w:rsid w:val="00AF7673"/>
    <w:rsid w:val="00AF797F"/>
    <w:rsid w:val="00B0405E"/>
    <w:rsid w:val="00B0549B"/>
    <w:rsid w:val="00B0663E"/>
    <w:rsid w:val="00B1047F"/>
    <w:rsid w:val="00B1315D"/>
    <w:rsid w:val="00B1404A"/>
    <w:rsid w:val="00B14194"/>
    <w:rsid w:val="00B16BA1"/>
    <w:rsid w:val="00B21E9E"/>
    <w:rsid w:val="00B233C0"/>
    <w:rsid w:val="00B247C8"/>
    <w:rsid w:val="00B32615"/>
    <w:rsid w:val="00B32D46"/>
    <w:rsid w:val="00B332C2"/>
    <w:rsid w:val="00B3470A"/>
    <w:rsid w:val="00B34E6D"/>
    <w:rsid w:val="00B36019"/>
    <w:rsid w:val="00B36086"/>
    <w:rsid w:val="00B37488"/>
    <w:rsid w:val="00B42DD6"/>
    <w:rsid w:val="00B44530"/>
    <w:rsid w:val="00B44A1B"/>
    <w:rsid w:val="00B47841"/>
    <w:rsid w:val="00B517DC"/>
    <w:rsid w:val="00B523FF"/>
    <w:rsid w:val="00B56694"/>
    <w:rsid w:val="00B57066"/>
    <w:rsid w:val="00B6109E"/>
    <w:rsid w:val="00B71510"/>
    <w:rsid w:val="00B71C7B"/>
    <w:rsid w:val="00B77AD6"/>
    <w:rsid w:val="00B81FBA"/>
    <w:rsid w:val="00B82F34"/>
    <w:rsid w:val="00B86EBC"/>
    <w:rsid w:val="00B90EAE"/>
    <w:rsid w:val="00B91E04"/>
    <w:rsid w:val="00B95E46"/>
    <w:rsid w:val="00B9633D"/>
    <w:rsid w:val="00B96956"/>
    <w:rsid w:val="00BA0EB4"/>
    <w:rsid w:val="00BA2B04"/>
    <w:rsid w:val="00BA34D4"/>
    <w:rsid w:val="00BA39E4"/>
    <w:rsid w:val="00BA3B47"/>
    <w:rsid w:val="00BA3CAE"/>
    <w:rsid w:val="00BA60EC"/>
    <w:rsid w:val="00BA6523"/>
    <w:rsid w:val="00BA7BC4"/>
    <w:rsid w:val="00BA7E8D"/>
    <w:rsid w:val="00BA7EC3"/>
    <w:rsid w:val="00BB1233"/>
    <w:rsid w:val="00BB20B1"/>
    <w:rsid w:val="00BB5D13"/>
    <w:rsid w:val="00BC0F18"/>
    <w:rsid w:val="00BC2746"/>
    <w:rsid w:val="00BC6A2D"/>
    <w:rsid w:val="00BC6EF4"/>
    <w:rsid w:val="00BD675B"/>
    <w:rsid w:val="00BD6C62"/>
    <w:rsid w:val="00BD73D6"/>
    <w:rsid w:val="00BE062B"/>
    <w:rsid w:val="00BE0651"/>
    <w:rsid w:val="00BE09BF"/>
    <w:rsid w:val="00BE189C"/>
    <w:rsid w:val="00BE28AA"/>
    <w:rsid w:val="00BE3AC2"/>
    <w:rsid w:val="00BE4717"/>
    <w:rsid w:val="00BE6E77"/>
    <w:rsid w:val="00BF1B67"/>
    <w:rsid w:val="00BF21C3"/>
    <w:rsid w:val="00BF448E"/>
    <w:rsid w:val="00BF5D64"/>
    <w:rsid w:val="00BF6AF6"/>
    <w:rsid w:val="00BF7A99"/>
    <w:rsid w:val="00C0029C"/>
    <w:rsid w:val="00C00BE9"/>
    <w:rsid w:val="00C01F95"/>
    <w:rsid w:val="00C044DB"/>
    <w:rsid w:val="00C04995"/>
    <w:rsid w:val="00C066D1"/>
    <w:rsid w:val="00C06999"/>
    <w:rsid w:val="00C06CC3"/>
    <w:rsid w:val="00C07147"/>
    <w:rsid w:val="00C07983"/>
    <w:rsid w:val="00C113F0"/>
    <w:rsid w:val="00C139C8"/>
    <w:rsid w:val="00C153A8"/>
    <w:rsid w:val="00C17986"/>
    <w:rsid w:val="00C17A2D"/>
    <w:rsid w:val="00C17FAB"/>
    <w:rsid w:val="00C20DFA"/>
    <w:rsid w:val="00C21558"/>
    <w:rsid w:val="00C22B5F"/>
    <w:rsid w:val="00C2379D"/>
    <w:rsid w:val="00C239CD"/>
    <w:rsid w:val="00C23F77"/>
    <w:rsid w:val="00C2712F"/>
    <w:rsid w:val="00C30077"/>
    <w:rsid w:val="00C34FC7"/>
    <w:rsid w:val="00C35679"/>
    <w:rsid w:val="00C419BB"/>
    <w:rsid w:val="00C428F0"/>
    <w:rsid w:val="00C4684A"/>
    <w:rsid w:val="00C47A8E"/>
    <w:rsid w:val="00C5017E"/>
    <w:rsid w:val="00C504AE"/>
    <w:rsid w:val="00C5129E"/>
    <w:rsid w:val="00C5154C"/>
    <w:rsid w:val="00C51976"/>
    <w:rsid w:val="00C55FD4"/>
    <w:rsid w:val="00C57156"/>
    <w:rsid w:val="00C625E1"/>
    <w:rsid w:val="00C6510C"/>
    <w:rsid w:val="00C700A6"/>
    <w:rsid w:val="00C70804"/>
    <w:rsid w:val="00C70D6E"/>
    <w:rsid w:val="00C802EC"/>
    <w:rsid w:val="00C813CD"/>
    <w:rsid w:val="00C8267B"/>
    <w:rsid w:val="00C86FBC"/>
    <w:rsid w:val="00C873F1"/>
    <w:rsid w:val="00C92316"/>
    <w:rsid w:val="00C93167"/>
    <w:rsid w:val="00C93555"/>
    <w:rsid w:val="00C94CB8"/>
    <w:rsid w:val="00C95F1F"/>
    <w:rsid w:val="00C96A38"/>
    <w:rsid w:val="00C97A09"/>
    <w:rsid w:val="00CA2DF4"/>
    <w:rsid w:val="00CA5787"/>
    <w:rsid w:val="00CA6713"/>
    <w:rsid w:val="00CA67B7"/>
    <w:rsid w:val="00CB092E"/>
    <w:rsid w:val="00CB4C1F"/>
    <w:rsid w:val="00CB4F1B"/>
    <w:rsid w:val="00CB791D"/>
    <w:rsid w:val="00CC0866"/>
    <w:rsid w:val="00CC0EEA"/>
    <w:rsid w:val="00CC2620"/>
    <w:rsid w:val="00CC266D"/>
    <w:rsid w:val="00CC4DFB"/>
    <w:rsid w:val="00CC51FE"/>
    <w:rsid w:val="00CC5C96"/>
    <w:rsid w:val="00CC6025"/>
    <w:rsid w:val="00CC668F"/>
    <w:rsid w:val="00CD373D"/>
    <w:rsid w:val="00CE09E6"/>
    <w:rsid w:val="00CE2F40"/>
    <w:rsid w:val="00CE388F"/>
    <w:rsid w:val="00CE4514"/>
    <w:rsid w:val="00CE4937"/>
    <w:rsid w:val="00CE568C"/>
    <w:rsid w:val="00CE661F"/>
    <w:rsid w:val="00CF0004"/>
    <w:rsid w:val="00CF06D4"/>
    <w:rsid w:val="00CF153B"/>
    <w:rsid w:val="00CF26F5"/>
    <w:rsid w:val="00CF52A1"/>
    <w:rsid w:val="00CF5518"/>
    <w:rsid w:val="00CF598C"/>
    <w:rsid w:val="00CF6FFF"/>
    <w:rsid w:val="00D01B6D"/>
    <w:rsid w:val="00D03930"/>
    <w:rsid w:val="00D1270E"/>
    <w:rsid w:val="00D15F50"/>
    <w:rsid w:val="00D175C0"/>
    <w:rsid w:val="00D2195E"/>
    <w:rsid w:val="00D22AB5"/>
    <w:rsid w:val="00D24BDC"/>
    <w:rsid w:val="00D25757"/>
    <w:rsid w:val="00D32CFA"/>
    <w:rsid w:val="00D3467D"/>
    <w:rsid w:val="00D363D6"/>
    <w:rsid w:val="00D4091B"/>
    <w:rsid w:val="00D409CC"/>
    <w:rsid w:val="00D411BF"/>
    <w:rsid w:val="00D41CBF"/>
    <w:rsid w:val="00D42520"/>
    <w:rsid w:val="00D46D0B"/>
    <w:rsid w:val="00D50AB4"/>
    <w:rsid w:val="00D50E2B"/>
    <w:rsid w:val="00D52A88"/>
    <w:rsid w:val="00D52BEB"/>
    <w:rsid w:val="00D53014"/>
    <w:rsid w:val="00D54CD6"/>
    <w:rsid w:val="00D54DF9"/>
    <w:rsid w:val="00D57078"/>
    <w:rsid w:val="00D57D16"/>
    <w:rsid w:val="00D605A3"/>
    <w:rsid w:val="00D60670"/>
    <w:rsid w:val="00D60692"/>
    <w:rsid w:val="00D61A34"/>
    <w:rsid w:val="00D62F69"/>
    <w:rsid w:val="00D63730"/>
    <w:rsid w:val="00D639AA"/>
    <w:rsid w:val="00D644C9"/>
    <w:rsid w:val="00D66721"/>
    <w:rsid w:val="00D724BA"/>
    <w:rsid w:val="00D73EB0"/>
    <w:rsid w:val="00D74218"/>
    <w:rsid w:val="00D77B45"/>
    <w:rsid w:val="00D80021"/>
    <w:rsid w:val="00D851E4"/>
    <w:rsid w:val="00D909FB"/>
    <w:rsid w:val="00D90D8C"/>
    <w:rsid w:val="00D93255"/>
    <w:rsid w:val="00D934DF"/>
    <w:rsid w:val="00D942DE"/>
    <w:rsid w:val="00D94F9E"/>
    <w:rsid w:val="00D9620B"/>
    <w:rsid w:val="00D965F4"/>
    <w:rsid w:val="00D97B21"/>
    <w:rsid w:val="00DA228E"/>
    <w:rsid w:val="00DA26CB"/>
    <w:rsid w:val="00DA31CC"/>
    <w:rsid w:val="00DA4179"/>
    <w:rsid w:val="00DA4483"/>
    <w:rsid w:val="00DA61C5"/>
    <w:rsid w:val="00DA6C22"/>
    <w:rsid w:val="00DB427B"/>
    <w:rsid w:val="00DB5E38"/>
    <w:rsid w:val="00DC14D5"/>
    <w:rsid w:val="00DD0331"/>
    <w:rsid w:val="00DD135E"/>
    <w:rsid w:val="00DD371F"/>
    <w:rsid w:val="00DD3A14"/>
    <w:rsid w:val="00DE242F"/>
    <w:rsid w:val="00DE37C9"/>
    <w:rsid w:val="00DF261E"/>
    <w:rsid w:val="00DF3BFF"/>
    <w:rsid w:val="00DF4D13"/>
    <w:rsid w:val="00DF60BD"/>
    <w:rsid w:val="00DF65DE"/>
    <w:rsid w:val="00DF6AA2"/>
    <w:rsid w:val="00DF6B3E"/>
    <w:rsid w:val="00E01CE3"/>
    <w:rsid w:val="00E01DDB"/>
    <w:rsid w:val="00E05ACB"/>
    <w:rsid w:val="00E10331"/>
    <w:rsid w:val="00E153A9"/>
    <w:rsid w:val="00E22758"/>
    <w:rsid w:val="00E24431"/>
    <w:rsid w:val="00E247CB"/>
    <w:rsid w:val="00E27368"/>
    <w:rsid w:val="00E302FB"/>
    <w:rsid w:val="00E30323"/>
    <w:rsid w:val="00E31F77"/>
    <w:rsid w:val="00E32962"/>
    <w:rsid w:val="00E3422A"/>
    <w:rsid w:val="00E3443F"/>
    <w:rsid w:val="00E3630A"/>
    <w:rsid w:val="00E404DA"/>
    <w:rsid w:val="00E40D7D"/>
    <w:rsid w:val="00E41409"/>
    <w:rsid w:val="00E42CBB"/>
    <w:rsid w:val="00E43664"/>
    <w:rsid w:val="00E50085"/>
    <w:rsid w:val="00E50648"/>
    <w:rsid w:val="00E50F7E"/>
    <w:rsid w:val="00E52AF3"/>
    <w:rsid w:val="00E54879"/>
    <w:rsid w:val="00E56E48"/>
    <w:rsid w:val="00E57DBA"/>
    <w:rsid w:val="00E63DA3"/>
    <w:rsid w:val="00E6404E"/>
    <w:rsid w:val="00E64B53"/>
    <w:rsid w:val="00E67AAE"/>
    <w:rsid w:val="00E72C3F"/>
    <w:rsid w:val="00E80D3C"/>
    <w:rsid w:val="00E80D47"/>
    <w:rsid w:val="00E826A5"/>
    <w:rsid w:val="00E8671E"/>
    <w:rsid w:val="00E867D2"/>
    <w:rsid w:val="00E87670"/>
    <w:rsid w:val="00E91813"/>
    <w:rsid w:val="00EA0739"/>
    <w:rsid w:val="00EA4A50"/>
    <w:rsid w:val="00EA5119"/>
    <w:rsid w:val="00EA51CC"/>
    <w:rsid w:val="00EA5673"/>
    <w:rsid w:val="00EC31B7"/>
    <w:rsid w:val="00EC3FF0"/>
    <w:rsid w:val="00EC558B"/>
    <w:rsid w:val="00EC6763"/>
    <w:rsid w:val="00ED0087"/>
    <w:rsid w:val="00ED1127"/>
    <w:rsid w:val="00ED53D6"/>
    <w:rsid w:val="00ED5979"/>
    <w:rsid w:val="00ED7082"/>
    <w:rsid w:val="00ED748E"/>
    <w:rsid w:val="00EE30EA"/>
    <w:rsid w:val="00EE43CE"/>
    <w:rsid w:val="00EE55E0"/>
    <w:rsid w:val="00EE57AB"/>
    <w:rsid w:val="00EE607D"/>
    <w:rsid w:val="00EF1C67"/>
    <w:rsid w:val="00EF4B37"/>
    <w:rsid w:val="00EF5834"/>
    <w:rsid w:val="00EF64FF"/>
    <w:rsid w:val="00EF6F4C"/>
    <w:rsid w:val="00F002E4"/>
    <w:rsid w:val="00F01A78"/>
    <w:rsid w:val="00F01AA2"/>
    <w:rsid w:val="00F03959"/>
    <w:rsid w:val="00F0500C"/>
    <w:rsid w:val="00F0628F"/>
    <w:rsid w:val="00F07406"/>
    <w:rsid w:val="00F10192"/>
    <w:rsid w:val="00F12BFB"/>
    <w:rsid w:val="00F13065"/>
    <w:rsid w:val="00F138B8"/>
    <w:rsid w:val="00F170FC"/>
    <w:rsid w:val="00F17A0C"/>
    <w:rsid w:val="00F17E54"/>
    <w:rsid w:val="00F20651"/>
    <w:rsid w:val="00F21544"/>
    <w:rsid w:val="00F22CCC"/>
    <w:rsid w:val="00F23AA4"/>
    <w:rsid w:val="00F23B89"/>
    <w:rsid w:val="00F24A93"/>
    <w:rsid w:val="00F24CAD"/>
    <w:rsid w:val="00F2632C"/>
    <w:rsid w:val="00F2798E"/>
    <w:rsid w:val="00F3092A"/>
    <w:rsid w:val="00F30E8D"/>
    <w:rsid w:val="00F333F3"/>
    <w:rsid w:val="00F350D3"/>
    <w:rsid w:val="00F35228"/>
    <w:rsid w:val="00F41063"/>
    <w:rsid w:val="00F42B1F"/>
    <w:rsid w:val="00F503EC"/>
    <w:rsid w:val="00F518BD"/>
    <w:rsid w:val="00F51E69"/>
    <w:rsid w:val="00F542D3"/>
    <w:rsid w:val="00F547E2"/>
    <w:rsid w:val="00F55A8B"/>
    <w:rsid w:val="00F55BFA"/>
    <w:rsid w:val="00F56C4A"/>
    <w:rsid w:val="00F57405"/>
    <w:rsid w:val="00F574EC"/>
    <w:rsid w:val="00F57E4A"/>
    <w:rsid w:val="00F621A5"/>
    <w:rsid w:val="00F64133"/>
    <w:rsid w:val="00F6484D"/>
    <w:rsid w:val="00F64AD2"/>
    <w:rsid w:val="00F72877"/>
    <w:rsid w:val="00F74417"/>
    <w:rsid w:val="00F80AF6"/>
    <w:rsid w:val="00F8191D"/>
    <w:rsid w:val="00F82C1E"/>
    <w:rsid w:val="00F86E8D"/>
    <w:rsid w:val="00F86F08"/>
    <w:rsid w:val="00F87649"/>
    <w:rsid w:val="00F90678"/>
    <w:rsid w:val="00F9439D"/>
    <w:rsid w:val="00F94732"/>
    <w:rsid w:val="00F951AA"/>
    <w:rsid w:val="00F95645"/>
    <w:rsid w:val="00F96376"/>
    <w:rsid w:val="00FA2263"/>
    <w:rsid w:val="00FA2413"/>
    <w:rsid w:val="00FA25CD"/>
    <w:rsid w:val="00FA2672"/>
    <w:rsid w:val="00FA37C4"/>
    <w:rsid w:val="00FA3D08"/>
    <w:rsid w:val="00FA5CB6"/>
    <w:rsid w:val="00FA6429"/>
    <w:rsid w:val="00FA6DDE"/>
    <w:rsid w:val="00FA72AA"/>
    <w:rsid w:val="00FB44D4"/>
    <w:rsid w:val="00FB62E3"/>
    <w:rsid w:val="00FB646B"/>
    <w:rsid w:val="00FB6D49"/>
    <w:rsid w:val="00FB72CF"/>
    <w:rsid w:val="00FB7E34"/>
    <w:rsid w:val="00FB7F53"/>
    <w:rsid w:val="00FC36AB"/>
    <w:rsid w:val="00FC5A30"/>
    <w:rsid w:val="00FC6412"/>
    <w:rsid w:val="00FC656B"/>
    <w:rsid w:val="00FC70BA"/>
    <w:rsid w:val="00FC7D12"/>
    <w:rsid w:val="00FD1922"/>
    <w:rsid w:val="00FD2759"/>
    <w:rsid w:val="00FD275F"/>
    <w:rsid w:val="00FD3089"/>
    <w:rsid w:val="00FD4D89"/>
    <w:rsid w:val="00FD605A"/>
    <w:rsid w:val="00FD62F5"/>
    <w:rsid w:val="00FD79A3"/>
    <w:rsid w:val="00FE232E"/>
    <w:rsid w:val="00FE385C"/>
    <w:rsid w:val="00FE39BE"/>
    <w:rsid w:val="00FE6849"/>
    <w:rsid w:val="00FE704A"/>
    <w:rsid w:val="00FE72AE"/>
    <w:rsid w:val="00FF0268"/>
    <w:rsid w:val="00FF1762"/>
    <w:rsid w:val="00FF2D26"/>
    <w:rsid w:val="00FF3E9F"/>
    <w:rsid w:val="00FF719F"/>
    <w:rsid w:val="00FF79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ind w:firstLine="360"/>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semiHidden="0" w:uiPriority="35" w:unhideWhenUsed="0" w:qFormat="1"/>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229B9"/>
  </w:style>
  <w:style w:type="paragraph" w:styleId="Heading1">
    <w:name w:val="heading 1"/>
    <w:basedOn w:val="Normal"/>
    <w:next w:val="Normal"/>
    <w:link w:val="Heading1Char"/>
    <w:uiPriority w:val="9"/>
    <w:qFormat/>
    <w:rsid w:val="002229B9"/>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2229B9"/>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2229B9"/>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locked/>
    <w:rsid w:val="002229B9"/>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locked/>
    <w:rsid w:val="002229B9"/>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locked/>
    <w:rsid w:val="002229B9"/>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locked/>
    <w:rsid w:val="002229B9"/>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locked/>
    <w:rsid w:val="002229B9"/>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locked/>
    <w:rsid w:val="002229B9"/>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229B9"/>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locked/>
    <w:rsid w:val="002229B9"/>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locked/>
    <w:rsid w:val="002229B9"/>
    <w:rPr>
      <w:rFonts w:asciiTheme="majorHAnsi" w:eastAsiaTheme="majorEastAsia" w:hAnsiTheme="majorHAnsi" w:cstheme="majorBidi"/>
      <w:color w:val="4F81BD" w:themeColor="accent1"/>
      <w:sz w:val="24"/>
      <w:szCs w:val="24"/>
    </w:rPr>
  </w:style>
  <w:style w:type="paragraph" w:styleId="BalloonText">
    <w:name w:val="Balloon Text"/>
    <w:basedOn w:val="Normal"/>
    <w:link w:val="BalloonTextChar"/>
    <w:uiPriority w:val="99"/>
    <w:rsid w:val="0026786C"/>
    <w:rPr>
      <w:rFonts w:ascii="Tahoma" w:hAnsi="Tahoma"/>
      <w:sz w:val="16"/>
      <w:szCs w:val="16"/>
      <w:lang w:eastAsia="en-US"/>
    </w:rPr>
  </w:style>
  <w:style w:type="character" w:customStyle="1" w:styleId="BalloonTextChar">
    <w:name w:val="Balloon Text Char"/>
    <w:link w:val="BalloonText"/>
    <w:uiPriority w:val="99"/>
    <w:locked/>
    <w:rsid w:val="0026786C"/>
    <w:rPr>
      <w:rFonts w:ascii="Tahoma" w:hAnsi="Tahoma" w:cs="Times New Roman"/>
      <w:sz w:val="16"/>
    </w:rPr>
  </w:style>
  <w:style w:type="paragraph" w:styleId="ListParagraph">
    <w:name w:val="List Paragraph"/>
    <w:basedOn w:val="Normal"/>
    <w:uiPriority w:val="34"/>
    <w:qFormat/>
    <w:rsid w:val="002229B9"/>
    <w:pPr>
      <w:ind w:left="720"/>
      <w:contextualSpacing/>
    </w:pPr>
  </w:style>
  <w:style w:type="paragraph" w:styleId="FootnoteText">
    <w:name w:val="footnote text"/>
    <w:basedOn w:val="Normal"/>
    <w:link w:val="FootnoteTextChar"/>
    <w:uiPriority w:val="99"/>
    <w:rsid w:val="00FA3D08"/>
    <w:rPr>
      <w:sz w:val="20"/>
      <w:szCs w:val="20"/>
      <w:lang w:eastAsia="en-US"/>
    </w:rPr>
  </w:style>
  <w:style w:type="character" w:customStyle="1" w:styleId="FootnoteTextChar">
    <w:name w:val="Footnote Text Char"/>
    <w:link w:val="FootnoteText"/>
    <w:uiPriority w:val="99"/>
    <w:locked/>
    <w:rsid w:val="00FA3D08"/>
    <w:rPr>
      <w:rFonts w:cs="Times New Roman"/>
    </w:rPr>
  </w:style>
  <w:style w:type="character" w:styleId="FootnoteReference">
    <w:name w:val="footnote reference"/>
    <w:uiPriority w:val="99"/>
    <w:rsid w:val="00FA3D08"/>
    <w:rPr>
      <w:rFonts w:cs="Times New Roman"/>
      <w:vertAlign w:val="superscript"/>
    </w:rPr>
  </w:style>
  <w:style w:type="character" w:styleId="Hyperlink">
    <w:name w:val="Hyperlink"/>
    <w:uiPriority w:val="99"/>
    <w:rsid w:val="000458CD"/>
    <w:rPr>
      <w:rFonts w:ascii="Times New Roman" w:hAnsi="Times New Roman" w:cs="Times New Roman"/>
      <w:b/>
      <w:color w:val="F47B20"/>
      <w:u w:val="none"/>
      <w:effect w:val="none"/>
    </w:rPr>
  </w:style>
  <w:style w:type="paragraph" w:styleId="Caption">
    <w:name w:val="caption"/>
    <w:basedOn w:val="Normal"/>
    <w:next w:val="Normal"/>
    <w:uiPriority w:val="35"/>
    <w:unhideWhenUsed/>
    <w:qFormat/>
    <w:rsid w:val="002229B9"/>
    <w:rPr>
      <w:b/>
      <w:bCs/>
      <w:sz w:val="18"/>
      <w:szCs w:val="18"/>
    </w:rPr>
  </w:style>
  <w:style w:type="paragraph" w:styleId="Header">
    <w:name w:val="header"/>
    <w:basedOn w:val="Normal"/>
    <w:link w:val="HeaderChar"/>
    <w:uiPriority w:val="99"/>
    <w:rsid w:val="00BF5D64"/>
    <w:pPr>
      <w:tabs>
        <w:tab w:val="center" w:pos="4513"/>
        <w:tab w:val="right" w:pos="9026"/>
      </w:tabs>
    </w:pPr>
    <w:rPr>
      <w:lang w:eastAsia="en-US"/>
    </w:rPr>
  </w:style>
  <w:style w:type="character" w:customStyle="1" w:styleId="HeaderChar">
    <w:name w:val="Header Char"/>
    <w:link w:val="Header"/>
    <w:uiPriority w:val="99"/>
    <w:locked/>
    <w:rsid w:val="00BF5D64"/>
    <w:rPr>
      <w:rFonts w:cs="Times New Roman"/>
      <w:sz w:val="24"/>
    </w:rPr>
  </w:style>
  <w:style w:type="paragraph" w:styleId="Footer">
    <w:name w:val="footer"/>
    <w:basedOn w:val="Normal"/>
    <w:link w:val="FooterChar"/>
    <w:uiPriority w:val="99"/>
    <w:rsid w:val="00BF5D64"/>
    <w:pPr>
      <w:tabs>
        <w:tab w:val="center" w:pos="4513"/>
        <w:tab w:val="right" w:pos="9026"/>
      </w:tabs>
    </w:pPr>
    <w:rPr>
      <w:lang w:eastAsia="en-US"/>
    </w:rPr>
  </w:style>
  <w:style w:type="character" w:customStyle="1" w:styleId="FooterChar">
    <w:name w:val="Footer Char"/>
    <w:link w:val="Footer"/>
    <w:uiPriority w:val="99"/>
    <w:locked/>
    <w:rsid w:val="00BF5D64"/>
    <w:rPr>
      <w:rFonts w:cs="Times New Roman"/>
      <w:sz w:val="24"/>
    </w:rPr>
  </w:style>
  <w:style w:type="paragraph" w:styleId="BodyText">
    <w:name w:val="Body Text"/>
    <w:basedOn w:val="Normal"/>
    <w:link w:val="BodyTextChar"/>
    <w:uiPriority w:val="99"/>
    <w:rsid w:val="00F86E8D"/>
    <w:pPr>
      <w:jc w:val="both"/>
    </w:pPr>
    <w:rPr>
      <w:rFonts w:ascii="Sabon" w:hAnsi="Sabon"/>
      <w:szCs w:val="20"/>
      <w:lang w:eastAsia="en-US"/>
    </w:rPr>
  </w:style>
  <w:style w:type="character" w:customStyle="1" w:styleId="BodyTextChar">
    <w:name w:val="Body Text Char"/>
    <w:link w:val="BodyText"/>
    <w:uiPriority w:val="99"/>
    <w:locked/>
    <w:rsid w:val="00F86E8D"/>
    <w:rPr>
      <w:rFonts w:ascii="Sabon" w:hAnsi="Sabon" w:cs="Times New Roman"/>
      <w:sz w:val="24"/>
      <w:lang w:eastAsia="en-US"/>
    </w:rPr>
  </w:style>
  <w:style w:type="character" w:styleId="FollowedHyperlink">
    <w:name w:val="FollowedHyperlink"/>
    <w:uiPriority w:val="99"/>
    <w:rsid w:val="00E54879"/>
    <w:rPr>
      <w:rFonts w:cs="Times New Roman"/>
      <w:color w:val="800080"/>
      <w:u w:val="single"/>
    </w:rPr>
  </w:style>
  <w:style w:type="paragraph" w:styleId="TOCHeading">
    <w:name w:val="TOC Heading"/>
    <w:basedOn w:val="Heading1"/>
    <w:next w:val="Normal"/>
    <w:uiPriority w:val="39"/>
    <w:unhideWhenUsed/>
    <w:qFormat/>
    <w:rsid w:val="002229B9"/>
    <w:pPr>
      <w:outlineLvl w:val="9"/>
    </w:pPr>
    <w:rPr>
      <w:lang w:bidi="en-US"/>
    </w:rPr>
  </w:style>
  <w:style w:type="paragraph" w:styleId="TOC1">
    <w:name w:val="toc 1"/>
    <w:basedOn w:val="Normal"/>
    <w:next w:val="Normal"/>
    <w:autoRedefine/>
    <w:uiPriority w:val="39"/>
    <w:rsid w:val="003A5104"/>
    <w:pPr>
      <w:tabs>
        <w:tab w:val="right" w:leader="dot" w:pos="8789"/>
      </w:tabs>
      <w:spacing w:after="100"/>
    </w:pPr>
    <w:rPr>
      <w:rFonts w:ascii="Arial" w:hAnsi="Arial" w:cs="Arial"/>
      <w:noProof/>
    </w:rPr>
  </w:style>
  <w:style w:type="paragraph" w:styleId="TOC2">
    <w:name w:val="toc 2"/>
    <w:basedOn w:val="Normal"/>
    <w:next w:val="Normal"/>
    <w:autoRedefine/>
    <w:uiPriority w:val="39"/>
    <w:rsid w:val="006A4361"/>
    <w:pPr>
      <w:spacing w:after="100"/>
      <w:ind w:left="240"/>
    </w:pPr>
  </w:style>
  <w:style w:type="paragraph" w:styleId="TOC3">
    <w:name w:val="toc 3"/>
    <w:basedOn w:val="Normal"/>
    <w:next w:val="Normal"/>
    <w:autoRedefine/>
    <w:uiPriority w:val="39"/>
    <w:rsid w:val="006A4361"/>
    <w:pPr>
      <w:spacing w:after="100"/>
      <w:ind w:left="480"/>
    </w:pPr>
  </w:style>
  <w:style w:type="character" w:styleId="CommentReference">
    <w:name w:val="annotation reference"/>
    <w:uiPriority w:val="99"/>
    <w:rsid w:val="00FE232E"/>
    <w:rPr>
      <w:rFonts w:cs="Times New Roman"/>
      <w:sz w:val="16"/>
    </w:rPr>
  </w:style>
  <w:style w:type="paragraph" w:styleId="CommentText">
    <w:name w:val="annotation text"/>
    <w:basedOn w:val="Normal"/>
    <w:link w:val="CommentTextChar"/>
    <w:uiPriority w:val="99"/>
    <w:rsid w:val="00FE232E"/>
    <w:rPr>
      <w:sz w:val="20"/>
      <w:szCs w:val="20"/>
      <w:lang w:eastAsia="en-US"/>
    </w:rPr>
  </w:style>
  <w:style w:type="character" w:customStyle="1" w:styleId="CommentTextChar">
    <w:name w:val="Comment Text Char"/>
    <w:link w:val="CommentText"/>
    <w:uiPriority w:val="99"/>
    <w:locked/>
    <w:rsid w:val="00FE232E"/>
    <w:rPr>
      <w:rFonts w:cs="Times New Roman"/>
    </w:rPr>
  </w:style>
  <w:style w:type="paragraph" w:styleId="CommentSubject">
    <w:name w:val="annotation subject"/>
    <w:basedOn w:val="CommentText"/>
    <w:next w:val="CommentText"/>
    <w:link w:val="CommentSubjectChar"/>
    <w:uiPriority w:val="99"/>
    <w:rsid w:val="00FE232E"/>
    <w:rPr>
      <w:b/>
      <w:bCs/>
    </w:rPr>
  </w:style>
  <w:style w:type="character" w:customStyle="1" w:styleId="CommentSubjectChar">
    <w:name w:val="Comment Subject Char"/>
    <w:link w:val="CommentSubject"/>
    <w:uiPriority w:val="99"/>
    <w:locked/>
    <w:rsid w:val="00FE232E"/>
    <w:rPr>
      <w:rFonts w:cs="Times New Roman"/>
      <w:b/>
    </w:rPr>
  </w:style>
  <w:style w:type="paragraph" w:styleId="PlainText">
    <w:name w:val="Plain Text"/>
    <w:basedOn w:val="Normal"/>
    <w:link w:val="PlainTextChar"/>
    <w:uiPriority w:val="99"/>
    <w:semiHidden/>
    <w:rsid w:val="00E87670"/>
    <w:rPr>
      <w:rFonts w:ascii="Calibri" w:hAnsi="Calibri"/>
      <w:sz w:val="20"/>
      <w:szCs w:val="21"/>
      <w:lang w:eastAsia="en-US"/>
    </w:rPr>
  </w:style>
  <w:style w:type="character" w:customStyle="1" w:styleId="PlainTextChar">
    <w:name w:val="Plain Text Char"/>
    <w:link w:val="PlainText"/>
    <w:uiPriority w:val="99"/>
    <w:semiHidden/>
    <w:locked/>
    <w:rsid w:val="00E87670"/>
    <w:rPr>
      <w:rFonts w:ascii="Calibri" w:hAnsi="Calibri" w:cs="Times New Roman"/>
      <w:sz w:val="21"/>
      <w:lang w:eastAsia="en-US"/>
    </w:rPr>
  </w:style>
  <w:style w:type="paragraph" w:styleId="EndnoteText">
    <w:name w:val="endnote text"/>
    <w:basedOn w:val="Normal"/>
    <w:link w:val="EndnoteTextChar"/>
    <w:uiPriority w:val="99"/>
    <w:semiHidden/>
    <w:rsid w:val="00E41409"/>
    <w:rPr>
      <w:sz w:val="20"/>
      <w:szCs w:val="20"/>
      <w:lang w:eastAsia="en-US"/>
    </w:rPr>
  </w:style>
  <w:style w:type="character" w:customStyle="1" w:styleId="EndnoteTextChar">
    <w:name w:val="Endnote Text Char"/>
    <w:link w:val="EndnoteText"/>
    <w:uiPriority w:val="99"/>
    <w:semiHidden/>
    <w:locked/>
    <w:rsid w:val="00E41409"/>
    <w:rPr>
      <w:rFonts w:cs="Times New Roman"/>
      <w:sz w:val="20"/>
    </w:rPr>
  </w:style>
  <w:style w:type="character" w:styleId="EndnoteReference">
    <w:name w:val="endnote reference"/>
    <w:uiPriority w:val="99"/>
    <w:semiHidden/>
    <w:rsid w:val="00E41409"/>
    <w:rPr>
      <w:rFonts w:cs="Times New Roman"/>
      <w:vertAlign w:val="superscript"/>
    </w:rPr>
  </w:style>
  <w:style w:type="character" w:styleId="PageNumber">
    <w:name w:val="page number"/>
    <w:uiPriority w:val="99"/>
    <w:rsid w:val="00C06999"/>
    <w:rPr>
      <w:rFonts w:cs="Times New Roman"/>
    </w:rPr>
  </w:style>
  <w:style w:type="paragraph" w:customStyle="1" w:styleId="Default">
    <w:name w:val="Default"/>
    <w:rsid w:val="006B4B15"/>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5F3E30"/>
    <w:pPr>
      <w:spacing w:after="240"/>
    </w:pPr>
    <w:rPr>
      <w:sz w:val="18"/>
      <w:szCs w:val="18"/>
    </w:rPr>
  </w:style>
  <w:style w:type="character" w:styleId="Strong">
    <w:name w:val="Strong"/>
    <w:basedOn w:val="DefaultParagraphFont"/>
    <w:uiPriority w:val="22"/>
    <w:qFormat/>
    <w:locked/>
    <w:rsid w:val="002229B9"/>
    <w:rPr>
      <w:b/>
      <w:bCs/>
      <w:spacing w:val="0"/>
    </w:rPr>
  </w:style>
  <w:style w:type="table" w:styleId="TableGrid">
    <w:name w:val="Table Grid"/>
    <w:basedOn w:val="TableNormal"/>
    <w:uiPriority w:val="59"/>
    <w:locked/>
    <w:rsid w:val="00D36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2229B9"/>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2229B9"/>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2229B9"/>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2229B9"/>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2229B9"/>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2229B9"/>
    <w:rPr>
      <w:rFonts w:asciiTheme="majorHAnsi" w:eastAsiaTheme="majorEastAsia" w:hAnsiTheme="majorHAnsi" w:cstheme="majorBidi"/>
      <w:i/>
      <w:iCs/>
      <w:color w:val="9BBB59" w:themeColor="accent3"/>
      <w:sz w:val="20"/>
      <w:szCs w:val="20"/>
    </w:rPr>
  </w:style>
  <w:style w:type="paragraph" w:styleId="Title">
    <w:name w:val="Title"/>
    <w:basedOn w:val="Normal"/>
    <w:next w:val="Normal"/>
    <w:link w:val="TitleChar"/>
    <w:uiPriority w:val="10"/>
    <w:qFormat/>
    <w:locked/>
    <w:rsid w:val="002229B9"/>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2229B9"/>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locked/>
    <w:rsid w:val="002229B9"/>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2229B9"/>
    <w:rPr>
      <w:i/>
      <w:iCs/>
      <w:sz w:val="24"/>
      <w:szCs w:val="24"/>
    </w:rPr>
  </w:style>
  <w:style w:type="character" w:styleId="Emphasis">
    <w:name w:val="Emphasis"/>
    <w:uiPriority w:val="20"/>
    <w:qFormat/>
    <w:locked/>
    <w:rsid w:val="002229B9"/>
    <w:rPr>
      <w:b/>
      <w:bCs/>
      <w:i/>
      <w:iCs/>
      <w:color w:val="5A5A5A" w:themeColor="text1" w:themeTint="A5"/>
    </w:rPr>
  </w:style>
  <w:style w:type="paragraph" w:styleId="NoSpacing">
    <w:name w:val="No Spacing"/>
    <w:basedOn w:val="Normal"/>
    <w:link w:val="NoSpacingChar"/>
    <w:uiPriority w:val="1"/>
    <w:qFormat/>
    <w:rsid w:val="002229B9"/>
    <w:pPr>
      <w:ind w:firstLine="0"/>
    </w:pPr>
  </w:style>
  <w:style w:type="character" w:customStyle="1" w:styleId="NoSpacingChar">
    <w:name w:val="No Spacing Char"/>
    <w:basedOn w:val="DefaultParagraphFont"/>
    <w:link w:val="NoSpacing"/>
    <w:uiPriority w:val="1"/>
    <w:rsid w:val="002229B9"/>
  </w:style>
  <w:style w:type="paragraph" w:styleId="Quote">
    <w:name w:val="Quote"/>
    <w:basedOn w:val="Normal"/>
    <w:next w:val="Normal"/>
    <w:link w:val="QuoteChar"/>
    <w:uiPriority w:val="29"/>
    <w:qFormat/>
    <w:rsid w:val="002229B9"/>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2229B9"/>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2229B9"/>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2229B9"/>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2229B9"/>
    <w:rPr>
      <w:i/>
      <w:iCs/>
      <w:color w:val="5A5A5A" w:themeColor="text1" w:themeTint="A5"/>
    </w:rPr>
  </w:style>
  <w:style w:type="character" w:styleId="IntenseEmphasis">
    <w:name w:val="Intense Emphasis"/>
    <w:uiPriority w:val="21"/>
    <w:qFormat/>
    <w:rsid w:val="002229B9"/>
    <w:rPr>
      <w:b/>
      <w:bCs/>
      <w:i/>
      <w:iCs/>
      <w:color w:val="4F81BD" w:themeColor="accent1"/>
      <w:sz w:val="22"/>
      <w:szCs w:val="22"/>
    </w:rPr>
  </w:style>
  <w:style w:type="character" w:styleId="SubtleReference">
    <w:name w:val="Subtle Reference"/>
    <w:uiPriority w:val="31"/>
    <w:qFormat/>
    <w:rsid w:val="002229B9"/>
    <w:rPr>
      <w:color w:val="auto"/>
      <w:u w:val="single" w:color="9BBB59" w:themeColor="accent3"/>
    </w:rPr>
  </w:style>
  <w:style w:type="character" w:styleId="IntenseReference">
    <w:name w:val="Intense Reference"/>
    <w:basedOn w:val="DefaultParagraphFont"/>
    <w:uiPriority w:val="32"/>
    <w:qFormat/>
    <w:rsid w:val="002229B9"/>
    <w:rPr>
      <w:b/>
      <w:bCs/>
      <w:color w:val="76923C" w:themeColor="accent3" w:themeShade="BF"/>
      <w:u w:val="single" w:color="9BBB59" w:themeColor="accent3"/>
    </w:rPr>
  </w:style>
  <w:style w:type="character" w:styleId="BookTitle">
    <w:name w:val="Book Title"/>
    <w:basedOn w:val="DefaultParagraphFont"/>
    <w:uiPriority w:val="33"/>
    <w:qFormat/>
    <w:rsid w:val="002229B9"/>
    <w:rPr>
      <w:rFonts w:asciiTheme="majorHAnsi" w:eastAsiaTheme="majorEastAsia" w:hAnsiTheme="majorHAnsi" w:cstheme="majorBidi"/>
      <w:b/>
      <w:bCs/>
      <w:i/>
      <w:iCs/>
      <w:color w:val="auto"/>
    </w:rPr>
  </w:style>
  <w:style w:type="paragraph" w:styleId="TableofFigures">
    <w:name w:val="table of figures"/>
    <w:basedOn w:val="Normal"/>
    <w:next w:val="Normal"/>
    <w:uiPriority w:val="99"/>
    <w:unhideWhenUsed/>
    <w:rsid w:val="00F621A5"/>
  </w:style>
  <w:style w:type="paragraph" w:customStyle="1" w:styleId="byline">
    <w:name w:val="byline"/>
    <w:basedOn w:val="Normal"/>
    <w:rsid w:val="00B523FF"/>
    <w:pPr>
      <w:spacing w:before="100" w:beforeAutospacing="1" w:after="100" w:afterAutospacing="1"/>
      <w:ind w:firstLine="0"/>
    </w:pPr>
    <w:rPr>
      <w:rFonts w:ascii="Times New Roman" w:eastAsia="Times New Roman" w:hAnsi="Times New Roman" w:cs="Times New Roman"/>
      <w:sz w:val="24"/>
      <w:szCs w:val="24"/>
    </w:rPr>
  </w:style>
  <w:style w:type="character" w:customStyle="1" w:styleId="Date1">
    <w:name w:val="Date1"/>
    <w:basedOn w:val="DefaultParagraphFont"/>
    <w:rsid w:val="00B523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ind w:firstLine="360"/>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semiHidden="0" w:uiPriority="35" w:unhideWhenUsed="0" w:qFormat="1"/>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229B9"/>
  </w:style>
  <w:style w:type="paragraph" w:styleId="Heading1">
    <w:name w:val="heading 1"/>
    <w:basedOn w:val="Normal"/>
    <w:next w:val="Normal"/>
    <w:link w:val="Heading1Char"/>
    <w:uiPriority w:val="9"/>
    <w:qFormat/>
    <w:rsid w:val="002229B9"/>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2229B9"/>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2229B9"/>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locked/>
    <w:rsid w:val="002229B9"/>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locked/>
    <w:rsid w:val="002229B9"/>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locked/>
    <w:rsid w:val="002229B9"/>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locked/>
    <w:rsid w:val="002229B9"/>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locked/>
    <w:rsid w:val="002229B9"/>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locked/>
    <w:rsid w:val="002229B9"/>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229B9"/>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locked/>
    <w:rsid w:val="002229B9"/>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locked/>
    <w:rsid w:val="002229B9"/>
    <w:rPr>
      <w:rFonts w:asciiTheme="majorHAnsi" w:eastAsiaTheme="majorEastAsia" w:hAnsiTheme="majorHAnsi" w:cstheme="majorBidi"/>
      <w:color w:val="4F81BD" w:themeColor="accent1"/>
      <w:sz w:val="24"/>
      <w:szCs w:val="24"/>
    </w:rPr>
  </w:style>
  <w:style w:type="paragraph" w:styleId="BalloonText">
    <w:name w:val="Balloon Text"/>
    <w:basedOn w:val="Normal"/>
    <w:link w:val="BalloonTextChar"/>
    <w:uiPriority w:val="99"/>
    <w:rsid w:val="0026786C"/>
    <w:rPr>
      <w:rFonts w:ascii="Tahoma" w:hAnsi="Tahoma"/>
      <w:sz w:val="16"/>
      <w:szCs w:val="16"/>
      <w:lang w:eastAsia="en-US"/>
    </w:rPr>
  </w:style>
  <w:style w:type="character" w:customStyle="1" w:styleId="BalloonTextChar">
    <w:name w:val="Balloon Text Char"/>
    <w:link w:val="BalloonText"/>
    <w:uiPriority w:val="99"/>
    <w:locked/>
    <w:rsid w:val="0026786C"/>
    <w:rPr>
      <w:rFonts w:ascii="Tahoma" w:hAnsi="Tahoma" w:cs="Times New Roman"/>
      <w:sz w:val="16"/>
    </w:rPr>
  </w:style>
  <w:style w:type="paragraph" w:styleId="ListParagraph">
    <w:name w:val="List Paragraph"/>
    <w:basedOn w:val="Normal"/>
    <w:uiPriority w:val="34"/>
    <w:qFormat/>
    <w:rsid w:val="002229B9"/>
    <w:pPr>
      <w:ind w:left="720"/>
      <w:contextualSpacing/>
    </w:pPr>
  </w:style>
  <w:style w:type="paragraph" w:styleId="FootnoteText">
    <w:name w:val="footnote text"/>
    <w:basedOn w:val="Normal"/>
    <w:link w:val="FootnoteTextChar"/>
    <w:uiPriority w:val="99"/>
    <w:rsid w:val="00FA3D08"/>
    <w:rPr>
      <w:sz w:val="20"/>
      <w:szCs w:val="20"/>
      <w:lang w:eastAsia="en-US"/>
    </w:rPr>
  </w:style>
  <w:style w:type="character" w:customStyle="1" w:styleId="FootnoteTextChar">
    <w:name w:val="Footnote Text Char"/>
    <w:link w:val="FootnoteText"/>
    <w:uiPriority w:val="99"/>
    <w:locked/>
    <w:rsid w:val="00FA3D08"/>
    <w:rPr>
      <w:rFonts w:cs="Times New Roman"/>
    </w:rPr>
  </w:style>
  <w:style w:type="character" w:styleId="FootnoteReference">
    <w:name w:val="footnote reference"/>
    <w:uiPriority w:val="99"/>
    <w:rsid w:val="00FA3D08"/>
    <w:rPr>
      <w:rFonts w:cs="Times New Roman"/>
      <w:vertAlign w:val="superscript"/>
    </w:rPr>
  </w:style>
  <w:style w:type="character" w:styleId="Hyperlink">
    <w:name w:val="Hyperlink"/>
    <w:uiPriority w:val="99"/>
    <w:rsid w:val="000458CD"/>
    <w:rPr>
      <w:rFonts w:ascii="Times New Roman" w:hAnsi="Times New Roman" w:cs="Times New Roman"/>
      <w:b/>
      <w:color w:val="F47B20"/>
      <w:u w:val="none"/>
      <w:effect w:val="none"/>
    </w:rPr>
  </w:style>
  <w:style w:type="paragraph" w:styleId="Caption">
    <w:name w:val="caption"/>
    <w:basedOn w:val="Normal"/>
    <w:next w:val="Normal"/>
    <w:uiPriority w:val="35"/>
    <w:unhideWhenUsed/>
    <w:qFormat/>
    <w:rsid w:val="002229B9"/>
    <w:rPr>
      <w:b/>
      <w:bCs/>
      <w:sz w:val="18"/>
      <w:szCs w:val="18"/>
    </w:rPr>
  </w:style>
  <w:style w:type="paragraph" w:styleId="Header">
    <w:name w:val="header"/>
    <w:basedOn w:val="Normal"/>
    <w:link w:val="HeaderChar"/>
    <w:uiPriority w:val="99"/>
    <w:rsid w:val="00BF5D64"/>
    <w:pPr>
      <w:tabs>
        <w:tab w:val="center" w:pos="4513"/>
        <w:tab w:val="right" w:pos="9026"/>
      </w:tabs>
    </w:pPr>
    <w:rPr>
      <w:lang w:eastAsia="en-US"/>
    </w:rPr>
  </w:style>
  <w:style w:type="character" w:customStyle="1" w:styleId="HeaderChar">
    <w:name w:val="Header Char"/>
    <w:link w:val="Header"/>
    <w:uiPriority w:val="99"/>
    <w:locked/>
    <w:rsid w:val="00BF5D64"/>
    <w:rPr>
      <w:rFonts w:cs="Times New Roman"/>
      <w:sz w:val="24"/>
    </w:rPr>
  </w:style>
  <w:style w:type="paragraph" w:styleId="Footer">
    <w:name w:val="footer"/>
    <w:basedOn w:val="Normal"/>
    <w:link w:val="FooterChar"/>
    <w:uiPriority w:val="99"/>
    <w:rsid w:val="00BF5D64"/>
    <w:pPr>
      <w:tabs>
        <w:tab w:val="center" w:pos="4513"/>
        <w:tab w:val="right" w:pos="9026"/>
      </w:tabs>
    </w:pPr>
    <w:rPr>
      <w:lang w:eastAsia="en-US"/>
    </w:rPr>
  </w:style>
  <w:style w:type="character" w:customStyle="1" w:styleId="FooterChar">
    <w:name w:val="Footer Char"/>
    <w:link w:val="Footer"/>
    <w:uiPriority w:val="99"/>
    <w:locked/>
    <w:rsid w:val="00BF5D64"/>
    <w:rPr>
      <w:rFonts w:cs="Times New Roman"/>
      <w:sz w:val="24"/>
    </w:rPr>
  </w:style>
  <w:style w:type="paragraph" w:styleId="BodyText">
    <w:name w:val="Body Text"/>
    <w:basedOn w:val="Normal"/>
    <w:link w:val="BodyTextChar"/>
    <w:uiPriority w:val="99"/>
    <w:rsid w:val="00F86E8D"/>
    <w:pPr>
      <w:jc w:val="both"/>
    </w:pPr>
    <w:rPr>
      <w:rFonts w:ascii="Sabon" w:hAnsi="Sabon"/>
      <w:szCs w:val="20"/>
      <w:lang w:eastAsia="en-US"/>
    </w:rPr>
  </w:style>
  <w:style w:type="character" w:customStyle="1" w:styleId="BodyTextChar">
    <w:name w:val="Body Text Char"/>
    <w:link w:val="BodyText"/>
    <w:uiPriority w:val="99"/>
    <w:locked/>
    <w:rsid w:val="00F86E8D"/>
    <w:rPr>
      <w:rFonts w:ascii="Sabon" w:hAnsi="Sabon" w:cs="Times New Roman"/>
      <w:sz w:val="24"/>
      <w:lang w:eastAsia="en-US"/>
    </w:rPr>
  </w:style>
  <w:style w:type="character" w:styleId="FollowedHyperlink">
    <w:name w:val="FollowedHyperlink"/>
    <w:uiPriority w:val="99"/>
    <w:rsid w:val="00E54879"/>
    <w:rPr>
      <w:rFonts w:cs="Times New Roman"/>
      <w:color w:val="800080"/>
      <w:u w:val="single"/>
    </w:rPr>
  </w:style>
  <w:style w:type="paragraph" w:styleId="TOCHeading">
    <w:name w:val="TOC Heading"/>
    <w:basedOn w:val="Heading1"/>
    <w:next w:val="Normal"/>
    <w:uiPriority w:val="39"/>
    <w:unhideWhenUsed/>
    <w:qFormat/>
    <w:rsid w:val="002229B9"/>
    <w:pPr>
      <w:outlineLvl w:val="9"/>
    </w:pPr>
    <w:rPr>
      <w:lang w:bidi="en-US"/>
    </w:rPr>
  </w:style>
  <w:style w:type="paragraph" w:styleId="TOC1">
    <w:name w:val="toc 1"/>
    <w:basedOn w:val="Normal"/>
    <w:next w:val="Normal"/>
    <w:autoRedefine/>
    <w:uiPriority w:val="39"/>
    <w:rsid w:val="003A5104"/>
    <w:pPr>
      <w:tabs>
        <w:tab w:val="right" w:leader="dot" w:pos="8789"/>
      </w:tabs>
      <w:spacing w:after="100"/>
    </w:pPr>
    <w:rPr>
      <w:rFonts w:ascii="Arial" w:hAnsi="Arial" w:cs="Arial"/>
      <w:noProof/>
    </w:rPr>
  </w:style>
  <w:style w:type="paragraph" w:styleId="TOC2">
    <w:name w:val="toc 2"/>
    <w:basedOn w:val="Normal"/>
    <w:next w:val="Normal"/>
    <w:autoRedefine/>
    <w:uiPriority w:val="39"/>
    <w:rsid w:val="006A4361"/>
    <w:pPr>
      <w:spacing w:after="100"/>
      <w:ind w:left="240"/>
    </w:pPr>
  </w:style>
  <w:style w:type="paragraph" w:styleId="TOC3">
    <w:name w:val="toc 3"/>
    <w:basedOn w:val="Normal"/>
    <w:next w:val="Normal"/>
    <w:autoRedefine/>
    <w:uiPriority w:val="39"/>
    <w:rsid w:val="006A4361"/>
    <w:pPr>
      <w:spacing w:after="100"/>
      <w:ind w:left="480"/>
    </w:pPr>
  </w:style>
  <w:style w:type="character" w:styleId="CommentReference">
    <w:name w:val="annotation reference"/>
    <w:uiPriority w:val="99"/>
    <w:rsid w:val="00FE232E"/>
    <w:rPr>
      <w:rFonts w:cs="Times New Roman"/>
      <w:sz w:val="16"/>
    </w:rPr>
  </w:style>
  <w:style w:type="paragraph" w:styleId="CommentText">
    <w:name w:val="annotation text"/>
    <w:basedOn w:val="Normal"/>
    <w:link w:val="CommentTextChar"/>
    <w:uiPriority w:val="99"/>
    <w:rsid w:val="00FE232E"/>
    <w:rPr>
      <w:sz w:val="20"/>
      <w:szCs w:val="20"/>
      <w:lang w:eastAsia="en-US"/>
    </w:rPr>
  </w:style>
  <w:style w:type="character" w:customStyle="1" w:styleId="CommentTextChar">
    <w:name w:val="Comment Text Char"/>
    <w:link w:val="CommentText"/>
    <w:uiPriority w:val="99"/>
    <w:locked/>
    <w:rsid w:val="00FE232E"/>
    <w:rPr>
      <w:rFonts w:cs="Times New Roman"/>
    </w:rPr>
  </w:style>
  <w:style w:type="paragraph" w:styleId="CommentSubject">
    <w:name w:val="annotation subject"/>
    <w:basedOn w:val="CommentText"/>
    <w:next w:val="CommentText"/>
    <w:link w:val="CommentSubjectChar"/>
    <w:uiPriority w:val="99"/>
    <w:rsid w:val="00FE232E"/>
    <w:rPr>
      <w:b/>
      <w:bCs/>
    </w:rPr>
  </w:style>
  <w:style w:type="character" w:customStyle="1" w:styleId="CommentSubjectChar">
    <w:name w:val="Comment Subject Char"/>
    <w:link w:val="CommentSubject"/>
    <w:uiPriority w:val="99"/>
    <w:locked/>
    <w:rsid w:val="00FE232E"/>
    <w:rPr>
      <w:rFonts w:cs="Times New Roman"/>
      <w:b/>
    </w:rPr>
  </w:style>
  <w:style w:type="paragraph" w:styleId="PlainText">
    <w:name w:val="Plain Text"/>
    <w:basedOn w:val="Normal"/>
    <w:link w:val="PlainTextChar"/>
    <w:uiPriority w:val="99"/>
    <w:semiHidden/>
    <w:rsid w:val="00E87670"/>
    <w:rPr>
      <w:rFonts w:ascii="Calibri" w:hAnsi="Calibri"/>
      <w:sz w:val="20"/>
      <w:szCs w:val="21"/>
      <w:lang w:eastAsia="en-US"/>
    </w:rPr>
  </w:style>
  <w:style w:type="character" w:customStyle="1" w:styleId="PlainTextChar">
    <w:name w:val="Plain Text Char"/>
    <w:link w:val="PlainText"/>
    <w:uiPriority w:val="99"/>
    <w:semiHidden/>
    <w:locked/>
    <w:rsid w:val="00E87670"/>
    <w:rPr>
      <w:rFonts w:ascii="Calibri" w:hAnsi="Calibri" w:cs="Times New Roman"/>
      <w:sz w:val="21"/>
      <w:lang w:eastAsia="en-US"/>
    </w:rPr>
  </w:style>
  <w:style w:type="paragraph" w:styleId="EndnoteText">
    <w:name w:val="endnote text"/>
    <w:basedOn w:val="Normal"/>
    <w:link w:val="EndnoteTextChar"/>
    <w:uiPriority w:val="99"/>
    <w:semiHidden/>
    <w:rsid w:val="00E41409"/>
    <w:rPr>
      <w:sz w:val="20"/>
      <w:szCs w:val="20"/>
      <w:lang w:eastAsia="en-US"/>
    </w:rPr>
  </w:style>
  <w:style w:type="character" w:customStyle="1" w:styleId="EndnoteTextChar">
    <w:name w:val="Endnote Text Char"/>
    <w:link w:val="EndnoteText"/>
    <w:uiPriority w:val="99"/>
    <w:semiHidden/>
    <w:locked/>
    <w:rsid w:val="00E41409"/>
    <w:rPr>
      <w:rFonts w:cs="Times New Roman"/>
      <w:sz w:val="20"/>
    </w:rPr>
  </w:style>
  <w:style w:type="character" w:styleId="EndnoteReference">
    <w:name w:val="endnote reference"/>
    <w:uiPriority w:val="99"/>
    <w:semiHidden/>
    <w:rsid w:val="00E41409"/>
    <w:rPr>
      <w:rFonts w:cs="Times New Roman"/>
      <w:vertAlign w:val="superscript"/>
    </w:rPr>
  </w:style>
  <w:style w:type="character" w:styleId="PageNumber">
    <w:name w:val="page number"/>
    <w:uiPriority w:val="99"/>
    <w:rsid w:val="00C06999"/>
    <w:rPr>
      <w:rFonts w:cs="Times New Roman"/>
    </w:rPr>
  </w:style>
  <w:style w:type="paragraph" w:customStyle="1" w:styleId="Default">
    <w:name w:val="Default"/>
    <w:rsid w:val="006B4B15"/>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5F3E30"/>
    <w:pPr>
      <w:spacing w:after="240"/>
    </w:pPr>
    <w:rPr>
      <w:sz w:val="18"/>
      <w:szCs w:val="18"/>
    </w:rPr>
  </w:style>
  <w:style w:type="character" w:styleId="Strong">
    <w:name w:val="Strong"/>
    <w:basedOn w:val="DefaultParagraphFont"/>
    <w:uiPriority w:val="22"/>
    <w:qFormat/>
    <w:locked/>
    <w:rsid w:val="002229B9"/>
    <w:rPr>
      <w:b/>
      <w:bCs/>
      <w:spacing w:val="0"/>
    </w:rPr>
  </w:style>
  <w:style w:type="table" w:styleId="TableGrid">
    <w:name w:val="Table Grid"/>
    <w:basedOn w:val="TableNormal"/>
    <w:uiPriority w:val="59"/>
    <w:locked/>
    <w:rsid w:val="00D36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2229B9"/>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2229B9"/>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2229B9"/>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2229B9"/>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2229B9"/>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2229B9"/>
    <w:rPr>
      <w:rFonts w:asciiTheme="majorHAnsi" w:eastAsiaTheme="majorEastAsia" w:hAnsiTheme="majorHAnsi" w:cstheme="majorBidi"/>
      <w:i/>
      <w:iCs/>
      <w:color w:val="9BBB59" w:themeColor="accent3"/>
      <w:sz w:val="20"/>
      <w:szCs w:val="20"/>
    </w:rPr>
  </w:style>
  <w:style w:type="paragraph" w:styleId="Title">
    <w:name w:val="Title"/>
    <w:basedOn w:val="Normal"/>
    <w:next w:val="Normal"/>
    <w:link w:val="TitleChar"/>
    <w:uiPriority w:val="10"/>
    <w:qFormat/>
    <w:locked/>
    <w:rsid w:val="002229B9"/>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2229B9"/>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locked/>
    <w:rsid w:val="002229B9"/>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2229B9"/>
    <w:rPr>
      <w:i/>
      <w:iCs/>
      <w:sz w:val="24"/>
      <w:szCs w:val="24"/>
    </w:rPr>
  </w:style>
  <w:style w:type="character" w:styleId="Emphasis">
    <w:name w:val="Emphasis"/>
    <w:uiPriority w:val="20"/>
    <w:qFormat/>
    <w:locked/>
    <w:rsid w:val="002229B9"/>
    <w:rPr>
      <w:b/>
      <w:bCs/>
      <w:i/>
      <w:iCs/>
      <w:color w:val="5A5A5A" w:themeColor="text1" w:themeTint="A5"/>
    </w:rPr>
  </w:style>
  <w:style w:type="paragraph" w:styleId="NoSpacing">
    <w:name w:val="No Spacing"/>
    <w:basedOn w:val="Normal"/>
    <w:link w:val="NoSpacingChar"/>
    <w:uiPriority w:val="1"/>
    <w:qFormat/>
    <w:rsid w:val="002229B9"/>
    <w:pPr>
      <w:ind w:firstLine="0"/>
    </w:pPr>
  </w:style>
  <w:style w:type="character" w:customStyle="1" w:styleId="NoSpacingChar">
    <w:name w:val="No Spacing Char"/>
    <w:basedOn w:val="DefaultParagraphFont"/>
    <w:link w:val="NoSpacing"/>
    <w:uiPriority w:val="1"/>
    <w:rsid w:val="002229B9"/>
  </w:style>
  <w:style w:type="paragraph" w:styleId="Quote">
    <w:name w:val="Quote"/>
    <w:basedOn w:val="Normal"/>
    <w:next w:val="Normal"/>
    <w:link w:val="QuoteChar"/>
    <w:uiPriority w:val="29"/>
    <w:qFormat/>
    <w:rsid w:val="002229B9"/>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2229B9"/>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2229B9"/>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2229B9"/>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2229B9"/>
    <w:rPr>
      <w:i/>
      <w:iCs/>
      <w:color w:val="5A5A5A" w:themeColor="text1" w:themeTint="A5"/>
    </w:rPr>
  </w:style>
  <w:style w:type="character" w:styleId="IntenseEmphasis">
    <w:name w:val="Intense Emphasis"/>
    <w:uiPriority w:val="21"/>
    <w:qFormat/>
    <w:rsid w:val="002229B9"/>
    <w:rPr>
      <w:b/>
      <w:bCs/>
      <w:i/>
      <w:iCs/>
      <w:color w:val="4F81BD" w:themeColor="accent1"/>
      <w:sz w:val="22"/>
      <w:szCs w:val="22"/>
    </w:rPr>
  </w:style>
  <w:style w:type="character" w:styleId="SubtleReference">
    <w:name w:val="Subtle Reference"/>
    <w:uiPriority w:val="31"/>
    <w:qFormat/>
    <w:rsid w:val="002229B9"/>
    <w:rPr>
      <w:color w:val="auto"/>
      <w:u w:val="single" w:color="9BBB59" w:themeColor="accent3"/>
    </w:rPr>
  </w:style>
  <w:style w:type="character" w:styleId="IntenseReference">
    <w:name w:val="Intense Reference"/>
    <w:basedOn w:val="DefaultParagraphFont"/>
    <w:uiPriority w:val="32"/>
    <w:qFormat/>
    <w:rsid w:val="002229B9"/>
    <w:rPr>
      <w:b/>
      <w:bCs/>
      <w:color w:val="76923C" w:themeColor="accent3" w:themeShade="BF"/>
      <w:u w:val="single" w:color="9BBB59" w:themeColor="accent3"/>
    </w:rPr>
  </w:style>
  <w:style w:type="character" w:styleId="BookTitle">
    <w:name w:val="Book Title"/>
    <w:basedOn w:val="DefaultParagraphFont"/>
    <w:uiPriority w:val="33"/>
    <w:qFormat/>
    <w:rsid w:val="002229B9"/>
    <w:rPr>
      <w:rFonts w:asciiTheme="majorHAnsi" w:eastAsiaTheme="majorEastAsia" w:hAnsiTheme="majorHAnsi" w:cstheme="majorBidi"/>
      <w:b/>
      <w:bCs/>
      <w:i/>
      <w:iCs/>
      <w:color w:val="auto"/>
    </w:rPr>
  </w:style>
  <w:style w:type="paragraph" w:styleId="TableofFigures">
    <w:name w:val="table of figures"/>
    <w:basedOn w:val="Normal"/>
    <w:next w:val="Normal"/>
    <w:uiPriority w:val="99"/>
    <w:unhideWhenUsed/>
    <w:rsid w:val="00F621A5"/>
  </w:style>
  <w:style w:type="paragraph" w:customStyle="1" w:styleId="byline">
    <w:name w:val="byline"/>
    <w:basedOn w:val="Normal"/>
    <w:rsid w:val="00B523FF"/>
    <w:pPr>
      <w:spacing w:before="100" w:beforeAutospacing="1" w:after="100" w:afterAutospacing="1"/>
      <w:ind w:firstLine="0"/>
    </w:pPr>
    <w:rPr>
      <w:rFonts w:ascii="Times New Roman" w:eastAsia="Times New Roman" w:hAnsi="Times New Roman" w:cs="Times New Roman"/>
      <w:sz w:val="24"/>
      <w:szCs w:val="24"/>
    </w:rPr>
  </w:style>
  <w:style w:type="character" w:customStyle="1" w:styleId="Date1">
    <w:name w:val="Date1"/>
    <w:basedOn w:val="DefaultParagraphFont"/>
    <w:rsid w:val="00B523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3548">
      <w:bodyDiv w:val="1"/>
      <w:marLeft w:val="0"/>
      <w:marRight w:val="0"/>
      <w:marTop w:val="0"/>
      <w:marBottom w:val="0"/>
      <w:divBdr>
        <w:top w:val="none" w:sz="0" w:space="0" w:color="auto"/>
        <w:left w:val="none" w:sz="0" w:space="0" w:color="auto"/>
        <w:bottom w:val="none" w:sz="0" w:space="0" w:color="auto"/>
        <w:right w:val="none" w:sz="0" w:space="0" w:color="auto"/>
      </w:divBdr>
    </w:div>
    <w:div w:id="57945669">
      <w:bodyDiv w:val="1"/>
      <w:marLeft w:val="0"/>
      <w:marRight w:val="0"/>
      <w:marTop w:val="0"/>
      <w:marBottom w:val="0"/>
      <w:divBdr>
        <w:top w:val="none" w:sz="0" w:space="0" w:color="auto"/>
        <w:left w:val="none" w:sz="0" w:space="0" w:color="auto"/>
        <w:bottom w:val="none" w:sz="0" w:space="0" w:color="auto"/>
        <w:right w:val="none" w:sz="0" w:space="0" w:color="auto"/>
      </w:divBdr>
      <w:divsChild>
        <w:div w:id="1430663479">
          <w:marLeft w:val="0"/>
          <w:marRight w:val="0"/>
          <w:marTop w:val="0"/>
          <w:marBottom w:val="0"/>
          <w:divBdr>
            <w:top w:val="none" w:sz="0" w:space="0" w:color="auto"/>
            <w:left w:val="none" w:sz="0" w:space="0" w:color="auto"/>
            <w:bottom w:val="none" w:sz="0" w:space="0" w:color="auto"/>
            <w:right w:val="none" w:sz="0" w:space="0" w:color="auto"/>
          </w:divBdr>
        </w:div>
        <w:div w:id="1771925248">
          <w:marLeft w:val="0"/>
          <w:marRight w:val="0"/>
          <w:marTop w:val="0"/>
          <w:marBottom w:val="0"/>
          <w:divBdr>
            <w:top w:val="none" w:sz="0" w:space="0" w:color="auto"/>
            <w:left w:val="none" w:sz="0" w:space="0" w:color="auto"/>
            <w:bottom w:val="none" w:sz="0" w:space="0" w:color="auto"/>
            <w:right w:val="none" w:sz="0" w:space="0" w:color="auto"/>
          </w:divBdr>
          <w:divsChild>
            <w:div w:id="24596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4661">
      <w:bodyDiv w:val="1"/>
      <w:marLeft w:val="0"/>
      <w:marRight w:val="0"/>
      <w:marTop w:val="0"/>
      <w:marBottom w:val="0"/>
      <w:divBdr>
        <w:top w:val="none" w:sz="0" w:space="0" w:color="auto"/>
        <w:left w:val="none" w:sz="0" w:space="0" w:color="auto"/>
        <w:bottom w:val="none" w:sz="0" w:space="0" w:color="auto"/>
        <w:right w:val="none" w:sz="0" w:space="0" w:color="auto"/>
      </w:divBdr>
    </w:div>
    <w:div w:id="375280119">
      <w:bodyDiv w:val="1"/>
      <w:marLeft w:val="0"/>
      <w:marRight w:val="0"/>
      <w:marTop w:val="0"/>
      <w:marBottom w:val="0"/>
      <w:divBdr>
        <w:top w:val="none" w:sz="0" w:space="0" w:color="auto"/>
        <w:left w:val="none" w:sz="0" w:space="0" w:color="auto"/>
        <w:bottom w:val="none" w:sz="0" w:space="0" w:color="auto"/>
        <w:right w:val="none" w:sz="0" w:space="0" w:color="auto"/>
      </w:divBdr>
      <w:divsChild>
        <w:div w:id="2107335774">
          <w:marLeft w:val="0"/>
          <w:marRight w:val="0"/>
          <w:marTop w:val="0"/>
          <w:marBottom w:val="0"/>
          <w:divBdr>
            <w:top w:val="none" w:sz="0" w:space="0" w:color="auto"/>
            <w:left w:val="single" w:sz="6" w:space="15" w:color="006666"/>
            <w:bottom w:val="single" w:sz="6" w:space="0" w:color="006666"/>
            <w:right w:val="single" w:sz="6" w:space="15" w:color="006666"/>
          </w:divBdr>
          <w:divsChild>
            <w:div w:id="262107527">
              <w:marLeft w:val="0"/>
              <w:marRight w:val="0"/>
              <w:marTop w:val="0"/>
              <w:marBottom w:val="0"/>
              <w:divBdr>
                <w:top w:val="none" w:sz="0" w:space="0" w:color="auto"/>
                <w:left w:val="none" w:sz="0" w:space="0" w:color="auto"/>
                <w:bottom w:val="none" w:sz="0" w:space="0" w:color="auto"/>
                <w:right w:val="none" w:sz="0" w:space="0" w:color="auto"/>
              </w:divBdr>
              <w:divsChild>
                <w:div w:id="128353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568016">
      <w:bodyDiv w:val="1"/>
      <w:marLeft w:val="0"/>
      <w:marRight w:val="0"/>
      <w:marTop w:val="0"/>
      <w:marBottom w:val="0"/>
      <w:divBdr>
        <w:top w:val="none" w:sz="0" w:space="0" w:color="auto"/>
        <w:left w:val="none" w:sz="0" w:space="0" w:color="auto"/>
        <w:bottom w:val="none" w:sz="0" w:space="0" w:color="auto"/>
        <w:right w:val="none" w:sz="0" w:space="0" w:color="auto"/>
      </w:divBdr>
    </w:div>
    <w:div w:id="403720612">
      <w:bodyDiv w:val="1"/>
      <w:marLeft w:val="0"/>
      <w:marRight w:val="0"/>
      <w:marTop w:val="0"/>
      <w:marBottom w:val="0"/>
      <w:divBdr>
        <w:top w:val="none" w:sz="0" w:space="0" w:color="auto"/>
        <w:left w:val="none" w:sz="0" w:space="0" w:color="auto"/>
        <w:bottom w:val="none" w:sz="0" w:space="0" w:color="auto"/>
        <w:right w:val="none" w:sz="0" w:space="0" w:color="auto"/>
      </w:divBdr>
    </w:div>
    <w:div w:id="451825434">
      <w:bodyDiv w:val="1"/>
      <w:marLeft w:val="0"/>
      <w:marRight w:val="0"/>
      <w:marTop w:val="0"/>
      <w:marBottom w:val="0"/>
      <w:divBdr>
        <w:top w:val="none" w:sz="0" w:space="0" w:color="auto"/>
        <w:left w:val="none" w:sz="0" w:space="0" w:color="auto"/>
        <w:bottom w:val="none" w:sz="0" w:space="0" w:color="auto"/>
        <w:right w:val="none" w:sz="0" w:space="0" w:color="auto"/>
      </w:divBdr>
    </w:div>
    <w:div w:id="544758294">
      <w:bodyDiv w:val="1"/>
      <w:marLeft w:val="0"/>
      <w:marRight w:val="0"/>
      <w:marTop w:val="0"/>
      <w:marBottom w:val="0"/>
      <w:divBdr>
        <w:top w:val="none" w:sz="0" w:space="0" w:color="auto"/>
        <w:left w:val="none" w:sz="0" w:space="0" w:color="auto"/>
        <w:bottom w:val="none" w:sz="0" w:space="0" w:color="auto"/>
        <w:right w:val="none" w:sz="0" w:space="0" w:color="auto"/>
      </w:divBdr>
    </w:div>
    <w:div w:id="622224719">
      <w:bodyDiv w:val="1"/>
      <w:marLeft w:val="0"/>
      <w:marRight w:val="0"/>
      <w:marTop w:val="0"/>
      <w:marBottom w:val="0"/>
      <w:divBdr>
        <w:top w:val="none" w:sz="0" w:space="0" w:color="auto"/>
        <w:left w:val="none" w:sz="0" w:space="0" w:color="auto"/>
        <w:bottom w:val="none" w:sz="0" w:space="0" w:color="auto"/>
        <w:right w:val="none" w:sz="0" w:space="0" w:color="auto"/>
      </w:divBdr>
    </w:div>
    <w:div w:id="657997890">
      <w:bodyDiv w:val="1"/>
      <w:marLeft w:val="0"/>
      <w:marRight w:val="0"/>
      <w:marTop w:val="0"/>
      <w:marBottom w:val="0"/>
      <w:divBdr>
        <w:top w:val="none" w:sz="0" w:space="0" w:color="auto"/>
        <w:left w:val="none" w:sz="0" w:space="0" w:color="auto"/>
        <w:bottom w:val="none" w:sz="0" w:space="0" w:color="auto"/>
        <w:right w:val="none" w:sz="0" w:space="0" w:color="auto"/>
      </w:divBdr>
    </w:div>
    <w:div w:id="761341739">
      <w:bodyDiv w:val="1"/>
      <w:marLeft w:val="0"/>
      <w:marRight w:val="0"/>
      <w:marTop w:val="0"/>
      <w:marBottom w:val="0"/>
      <w:divBdr>
        <w:top w:val="none" w:sz="0" w:space="0" w:color="auto"/>
        <w:left w:val="none" w:sz="0" w:space="0" w:color="auto"/>
        <w:bottom w:val="none" w:sz="0" w:space="0" w:color="auto"/>
        <w:right w:val="none" w:sz="0" w:space="0" w:color="auto"/>
      </w:divBdr>
    </w:div>
    <w:div w:id="790906736">
      <w:bodyDiv w:val="1"/>
      <w:marLeft w:val="0"/>
      <w:marRight w:val="0"/>
      <w:marTop w:val="0"/>
      <w:marBottom w:val="0"/>
      <w:divBdr>
        <w:top w:val="none" w:sz="0" w:space="0" w:color="auto"/>
        <w:left w:val="none" w:sz="0" w:space="0" w:color="auto"/>
        <w:bottom w:val="none" w:sz="0" w:space="0" w:color="auto"/>
        <w:right w:val="none" w:sz="0" w:space="0" w:color="auto"/>
      </w:divBdr>
    </w:div>
    <w:div w:id="869143013">
      <w:bodyDiv w:val="1"/>
      <w:marLeft w:val="0"/>
      <w:marRight w:val="0"/>
      <w:marTop w:val="0"/>
      <w:marBottom w:val="0"/>
      <w:divBdr>
        <w:top w:val="none" w:sz="0" w:space="0" w:color="auto"/>
        <w:left w:val="none" w:sz="0" w:space="0" w:color="auto"/>
        <w:bottom w:val="none" w:sz="0" w:space="0" w:color="auto"/>
        <w:right w:val="none" w:sz="0" w:space="0" w:color="auto"/>
      </w:divBdr>
    </w:div>
    <w:div w:id="874269623">
      <w:bodyDiv w:val="1"/>
      <w:marLeft w:val="0"/>
      <w:marRight w:val="0"/>
      <w:marTop w:val="0"/>
      <w:marBottom w:val="0"/>
      <w:divBdr>
        <w:top w:val="none" w:sz="0" w:space="0" w:color="auto"/>
        <w:left w:val="none" w:sz="0" w:space="0" w:color="auto"/>
        <w:bottom w:val="none" w:sz="0" w:space="0" w:color="auto"/>
        <w:right w:val="none" w:sz="0" w:space="0" w:color="auto"/>
      </w:divBdr>
      <w:divsChild>
        <w:div w:id="670790492">
          <w:marLeft w:val="0"/>
          <w:marRight w:val="0"/>
          <w:marTop w:val="0"/>
          <w:marBottom w:val="0"/>
          <w:divBdr>
            <w:top w:val="none" w:sz="0" w:space="0" w:color="auto"/>
            <w:left w:val="single" w:sz="6" w:space="15" w:color="006666"/>
            <w:bottom w:val="single" w:sz="6" w:space="0" w:color="006666"/>
            <w:right w:val="single" w:sz="6" w:space="15" w:color="006666"/>
          </w:divBdr>
          <w:divsChild>
            <w:div w:id="1824274290">
              <w:marLeft w:val="0"/>
              <w:marRight w:val="0"/>
              <w:marTop w:val="0"/>
              <w:marBottom w:val="0"/>
              <w:divBdr>
                <w:top w:val="none" w:sz="0" w:space="0" w:color="auto"/>
                <w:left w:val="none" w:sz="0" w:space="0" w:color="auto"/>
                <w:bottom w:val="none" w:sz="0" w:space="0" w:color="auto"/>
                <w:right w:val="none" w:sz="0" w:space="0" w:color="auto"/>
              </w:divBdr>
              <w:divsChild>
                <w:div w:id="1428500970">
                  <w:marLeft w:val="0"/>
                  <w:marRight w:val="0"/>
                  <w:marTop w:val="0"/>
                  <w:marBottom w:val="0"/>
                  <w:divBdr>
                    <w:top w:val="none" w:sz="0" w:space="0" w:color="auto"/>
                    <w:left w:val="none" w:sz="0" w:space="0" w:color="auto"/>
                    <w:bottom w:val="none" w:sz="0" w:space="0" w:color="auto"/>
                    <w:right w:val="none" w:sz="0" w:space="0" w:color="auto"/>
                  </w:divBdr>
                  <w:divsChild>
                    <w:div w:id="10024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14337">
      <w:bodyDiv w:val="1"/>
      <w:marLeft w:val="0"/>
      <w:marRight w:val="0"/>
      <w:marTop w:val="0"/>
      <w:marBottom w:val="0"/>
      <w:divBdr>
        <w:top w:val="none" w:sz="0" w:space="0" w:color="auto"/>
        <w:left w:val="none" w:sz="0" w:space="0" w:color="auto"/>
        <w:bottom w:val="none" w:sz="0" w:space="0" w:color="auto"/>
        <w:right w:val="none" w:sz="0" w:space="0" w:color="auto"/>
      </w:divBdr>
    </w:div>
    <w:div w:id="959452886">
      <w:bodyDiv w:val="1"/>
      <w:marLeft w:val="0"/>
      <w:marRight w:val="0"/>
      <w:marTop w:val="0"/>
      <w:marBottom w:val="0"/>
      <w:divBdr>
        <w:top w:val="none" w:sz="0" w:space="0" w:color="auto"/>
        <w:left w:val="none" w:sz="0" w:space="0" w:color="auto"/>
        <w:bottom w:val="none" w:sz="0" w:space="0" w:color="auto"/>
        <w:right w:val="none" w:sz="0" w:space="0" w:color="auto"/>
      </w:divBdr>
    </w:div>
    <w:div w:id="997538773">
      <w:bodyDiv w:val="1"/>
      <w:marLeft w:val="0"/>
      <w:marRight w:val="0"/>
      <w:marTop w:val="0"/>
      <w:marBottom w:val="0"/>
      <w:divBdr>
        <w:top w:val="none" w:sz="0" w:space="0" w:color="auto"/>
        <w:left w:val="none" w:sz="0" w:space="0" w:color="auto"/>
        <w:bottom w:val="none" w:sz="0" w:space="0" w:color="auto"/>
        <w:right w:val="none" w:sz="0" w:space="0" w:color="auto"/>
      </w:divBdr>
    </w:div>
    <w:div w:id="1042903555">
      <w:marLeft w:val="0"/>
      <w:marRight w:val="0"/>
      <w:marTop w:val="0"/>
      <w:marBottom w:val="0"/>
      <w:divBdr>
        <w:top w:val="none" w:sz="0" w:space="0" w:color="auto"/>
        <w:left w:val="none" w:sz="0" w:space="0" w:color="auto"/>
        <w:bottom w:val="none" w:sz="0" w:space="0" w:color="auto"/>
        <w:right w:val="none" w:sz="0" w:space="0" w:color="auto"/>
      </w:divBdr>
    </w:div>
    <w:div w:id="1042903556">
      <w:marLeft w:val="0"/>
      <w:marRight w:val="0"/>
      <w:marTop w:val="0"/>
      <w:marBottom w:val="0"/>
      <w:divBdr>
        <w:top w:val="none" w:sz="0" w:space="0" w:color="auto"/>
        <w:left w:val="none" w:sz="0" w:space="0" w:color="auto"/>
        <w:bottom w:val="none" w:sz="0" w:space="0" w:color="auto"/>
        <w:right w:val="none" w:sz="0" w:space="0" w:color="auto"/>
      </w:divBdr>
    </w:div>
    <w:div w:id="1042903557">
      <w:marLeft w:val="0"/>
      <w:marRight w:val="0"/>
      <w:marTop w:val="0"/>
      <w:marBottom w:val="0"/>
      <w:divBdr>
        <w:top w:val="none" w:sz="0" w:space="0" w:color="auto"/>
        <w:left w:val="none" w:sz="0" w:space="0" w:color="auto"/>
        <w:bottom w:val="none" w:sz="0" w:space="0" w:color="auto"/>
        <w:right w:val="none" w:sz="0" w:space="0" w:color="auto"/>
      </w:divBdr>
    </w:div>
    <w:div w:id="1042903558">
      <w:marLeft w:val="0"/>
      <w:marRight w:val="0"/>
      <w:marTop w:val="0"/>
      <w:marBottom w:val="0"/>
      <w:divBdr>
        <w:top w:val="none" w:sz="0" w:space="0" w:color="auto"/>
        <w:left w:val="none" w:sz="0" w:space="0" w:color="auto"/>
        <w:bottom w:val="none" w:sz="0" w:space="0" w:color="auto"/>
        <w:right w:val="none" w:sz="0" w:space="0" w:color="auto"/>
      </w:divBdr>
    </w:div>
    <w:div w:id="1042903559">
      <w:marLeft w:val="0"/>
      <w:marRight w:val="0"/>
      <w:marTop w:val="0"/>
      <w:marBottom w:val="0"/>
      <w:divBdr>
        <w:top w:val="none" w:sz="0" w:space="0" w:color="auto"/>
        <w:left w:val="none" w:sz="0" w:space="0" w:color="auto"/>
        <w:bottom w:val="none" w:sz="0" w:space="0" w:color="auto"/>
        <w:right w:val="none" w:sz="0" w:space="0" w:color="auto"/>
      </w:divBdr>
    </w:div>
    <w:div w:id="1042903560">
      <w:marLeft w:val="0"/>
      <w:marRight w:val="0"/>
      <w:marTop w:val="0"/>
      <w:marBottom w:val="0"/>
      <w:divBdr>
        <w:top w:val="none" w:sz="0" w:space="0" w:color="auto"/>
        <w:left w:val="none" w:sz="0" w:space="0" w:color="auto"/>
        <w:bottom w:val="none" w:sz="0" w:space="0" w:color="auto"/>
        <w:right w:val="none" w:sz="0" w:space="0" w:color="auto"/>
      </w:divBdr>
    </w:div>
    <w:div w:id="1042903561">
      <w:marLeft w:val="0"/>
      <w:marRight w:val="0"/>
      <w:marTop w:val="0"/>
      <w:marBottom w:val="0"/>
      <w:divBdr>
        <w:top w:val="none" w:sz="0" w:space="0" w:color="auto"/>
        <w:left w:val="none" w:sz="0" w:space="0" w:color="auto"/>
        <w:bottom w:val="none" w:sz="0" w:space="0" w:color="auto"/>
        <w:right w:val="none" w:sz="0" w:space="0" w:color="auto"/>
      </w:divBdr>
    </w:div>
    <w:div w:id="1042903562">
      <w:marLeft w:val="0"/>
      <w:marRight w:val="0"/>
      <w:marTop w:val="0"/>
      <w:marBottom w:val="0"/>
      <w:divBdr>
        <w:top w:val="none" w:sz="0" w:space="0" w:color="auto"/>
        <w:left w:val="none" w:sz="0" w:space="0" w:color="auto"/>
        <w:bottom w:val="none" w:sz="0" w:space="0" w:color="auto"/>
        <w:right w:val="none" w:sz="0" w:space="0" w:color="auto"/>
      </w:divBdr>
    </w:div>
    <w:div w:id="1042903563">
      <w:marLeft w:val="0"/>
      <w:marRight w:val="0"/>
      <w:marTop w:val="0"/>
      <w:marBottom w:val="0"/>
      <w:divBdr>
        <w:top w:val="none" w:sz="0" w:space="0" w:color="auto"/>
        <w:left w:val="none" w:sz="0" w:space="0" w:color="auto"/>
        <w:bottom w:val="none" w:sz="0" w:space="0" w:color="auto"/>
        <w:right w:val="none" w:sz="0" w:space="0" w:color="auto"/>
      </w:divBdr>
    </w:div>
    <w:div w:id="1042903564">
      <w:marLeft w:val="0"/>
      <w:marRight w:val="0"/>
      <w:marTop w:val="0"/>
      <w:marBottom w:val="0"/>
      <w:divBdr>
        <w:top w:val="none" w:sz="0" w:space="0" w:color="auto"/>
        <w:left w:val="none" w:sz="0" w:space="0" w:color="auto"/>
        <w:bottom w:val="none" w:sz="0" w:space="0" w:color="auto"/>
        <w:right w:val="none" w:sz="0" w:space="0" w:color="auto"/>
      </w:divBdr>
    </w:div>
    <w:div w:id="1042903565">
      <w:marLeft w:val="0"/>
      <w:marRight w:val="0"/>
      <w:marTop w:val="0"/>
      <w:marBottom w:val="0"/>
      <w:divBdr>
        <w:top w:val="none" w:sz="0" w:space="0" w:color="auto"/>
        <w:left w:val="none" w:sz="0" w:space="0" w:color="auto"/>
        <w:bottom w:val="none" w:sz="0" w:space="0" w:color="auto"/>
        <w:right w:val="none" w:sz="0" w:space="0" w:color="auto"/>
      </w:divBdr>
    </w:div>
    <w:div w:id="1042903566">
      <w:marLeft w:val="0"/>
      <w:marRight w:val="0"/>
      <w:marTop w:val="0"/>
      <w:marBottom w:val="0"/>
      <w:divBdr>
        <w:top w:val="none" w:sz="0" w:space="0" w:color="auto"/>
        <w:left w:val="none" w:sz="0" w:space="0" w:color="auto"/>
        <w:bottom w:val="none" w:sz="0" w:space="0" w:color="auto"/>
        <w:right w:val="none" w:sz="0" w:space="0" w:color="auto"/>
      </w:divBdr>
    </w:div>
    <w:div w:id="1042903567">
      <w:marLeft w:val="0"/>
      <w:marRight w:val="0"/>
      <w:marTop w:val="0"/>
      <w:marBottom w:val="0"/>
      <w:divBdr>
        <w:top w:val="none" w:sz="0" w:space="0" w:color="auto"/>
        <w:left w:val="none" w:sz="0" w:space="0" w:color="auto"/>
        <w:bottom w:val="none" w:sz="0" w:space="0" w:color="auto"/>
        <w:right w:val="none" w:sz="0" w:space="0" w:color="auto"/>
      </w:divBdr>
    </w:div>
    <w:div w:id="1042903568">
      <w:marLeft w:val="0"/>
      <w:marRight w:val="0"/>
      <w:marTop w:val="0"/>
      <w:marBottom w:val="0"/>
      <w:divBdr>
        <w:top w:val="none" w:sz="0" w:space="0" w:color="auto"/>
        <w:left w:val="none" w:sz="0" w:space="0" w:color="auto"/>
        <w:bottom w:val="none" w:sz="0" w:space="0" w:color="auto"/>
        <w:right w:val="none" w:sz="0" w:space="0" w:color="auto"/>
      </w:divBdr>
    </w:div>
    <w:div w:id="1042903569">
      <w:marLeft w:val="0"/>
      <w:marRight w:val="0"/>
      <w:marTop w:val="0"/>
      <w:marBottom w:val="0"/>
      <w:divBdr>
        <w:top w:val="none" w:sz="0" w:space="0" w:color="auto"/>
        <w:left w:val="none" w:sz="0" w:space="0" w:color="auto"/>
        <w:bottom w:val="none" w:sz="0" w:space="0" w:color="auto"/>
        <w:right w:val="none" w:sz="0" w:space="0" w:color="auto"/>
      </w:divBdr>
    </w:div>
    <w:div w:id="1042903570">
      <w:marLeft w:val="0"/>
      <w:marRight w:val="0"/>
      <w:marTop w:val="0"/>
      <w:marBottom w:val="0"/>
      <w:divBdr>
        <w:top w:val="none" w:sz="0" w:space="0" w:color="auto"/>
        <w:left w:val="none" w:sz="0" w:space="0" w:color="auto"/>
        <w:bottom w:val="none" w:sz="0" w:space="0" w:color="auto"/>
        <w:right w:val="none" w:sz="0" w:space="0" w:color="auto"/>
      </w:divBdr>
    </w:div>
    <w:div w:id="1042903571">
      <w:marLeft w:val="0"/>
      <w:marRight w:val="0"/>
      <w:marTop w:val="0"/>
      <w:marBottom w:val="0"/>
      <w:divBdr>
        <w:top w:val="none" w:sz="0" w:space="0" w:color="auto"/>
        <w:left w:val="none" w:sz="0" w:space="0" w:color="auto"/>
        <w:bottom w:val="none" w:sz="0" w:space="0" w:color="auto"/>
        <w:right w:val="none" w:sz="0" w:space="0" w:color="auto"/>
      </w:divBdr>
    </w:div>
    <w:div w:id="1042903572">
      <w:marLeft w:val="0"/>
      <w:marRight w:val="0"/>
      <w:marTop w:val="0"/>
      <w:marBottom w:val="0"/>
      <w:divBdr>
        <w:top w:val="none" w:sz="0" w:space="0" w:color="auto"/>
        <w:left w:val="none" w:sz="0" w:space="0" w:color="auto"/>
        <w:bottom w:val="none" w:sz="0" w:space="0" w:color="auto"/>
        <w:right w:val="none" w:sz="0" w:space="0" w:color="auto"/>
      </w:divBdr>
    </w:div>
    <w:div w:id="1042903573">
      <w:marLeft w:val="0"/>
      <w:marRight w:val="0"/>
      <w:marTop w:val="0"/>
      <w:marBottom w:val="0"/>
      <w:divBdr>
        <w:top w:val="none" w:sz="0" w:space="0" w:color="auto"/>
        <w:left w:val="none" w:sz="0" w:space="0" w:color="auto"/>
        <w:bottom w:val="none" w:sz="0" w:space="0" w:color="auto"/>
        <w:right w:val="none" w:sz="0" w:space="0" w:color="auto"/>
      </w:divBdr>
    </w:div>
    <w:div w:id="1042903574">
      <w:marLeft w:val="0"/>
      <w:marRight w:val="0"/>
      <w:marTop w:val="0"/>
      <w:marBottom w:val="0"/>
      <w:divBdr>
        <w:top w:val="none" w:sz="0" w:space="0" w:color="auto"/>
        <w:left w:val="none" w:sz="0" w:space="0" w:color="auto"/>
        <w:bottom w:val="none" w:sz="0" w:space="0" w:color="auto"/>
        <w:right w:val="none" w:sz="0" w:space="0" w:color="auto"/>
      </w:divBdr>
    </w:div>
    <w:div w:id="1042903575">
      <w:marLeft w:val="0"/>
      <w:marRight w:val="0"/>
      <w:marTop w:val="0"/>
      <w:marBottom w:val="0"/>
      <w:divBdr>
        <w:top w:val="none" w:sz="0" w:space="0" w:color="auto"/>
        <w:left w:val="none" w:sz="0" w:space="0" w:color="auto"/>
        <w:bottom w:val="none" w:sz="0" w:space="0" w:color="auto"/>
        <w:right w:val="none" w:sz="0" w:space="0" w:color="auto"/>
      </w:divBdr>
    </w:div>
    <w:div w:id="1042903576">
      <w:marLeft w:val="0"/>
      <w:marRight w:val="0"/>
      <w:marTop w:val="0"/>
      <w:marBottom w:val="0"/>
      <w:divBdr>
        <w:top w:val="none" w:sz="0" w:space="0" w:color="auto"/>
        <w:left w:val="none" w:sz="0" w:space="0" w:color="auto"/>
        <w:bottom w:val="none" w:sz="0" w:space="0" w:color="auto"/>
        <w:right w:val="none" w:sz="0" w:space="0" w:color="auto"/>
      </w:divBdr>
    </w:div>
    <w:div w:id="1042903577">
      <w:marLeft w:val="0"/>
      <w:marRight w:val="0"/>
      <w:marTop w:val="0"/>
      <w:marBottom w:val="0"/>
      <w:divBdr>
        <w:top w:val="none" w:sz="0" w:space="0" w:color="auto"/>
        <w:left w:val="none" w:sz="0" w:space="0" w:color="auto"/>
        <w:bottom w:val="none" w:sz="0" w:space="0" w:color="auto"/>
        <w:right w:val="none" w:sz="0" w:space="0" w:color="auto"/>
      </w:divBdr>
    </w:div>
    <w:div w:id="1042903578">
      <w:marLeft w:val="0"/>
      <w:marRight w:val="0"/>
      <w:marTop w:val="0"/>
      <w:marBottom w:val="0"/>
      <w:divBdr>
        <w:top w:val="none" w:sz="0" w:space="0" w:color="auto"/>
        <w:left w:val="none" w:sz="0" w:space="0" w:color="auto"/>
        <w:bottom w:val="none" w:sz="0" w:space="0" w:color="auto"/>
        <w:right w:val="none" w:sz="0" w:space="0" w:color="auto"/>
      </w:divBdr>
    </w:div>
    <w:div w:id="1042903579">
      <w:marLeft w:val="0"/>
      <w:marRight w:val="0"/>
      <w:marTop w:val="0"/>
      <w:marBottom w:val="0"/>
      <w:divBdr>
        <w:top w:val="none" w:sz="0" w:space="0" w:color="auto"/>
        <w:left w:val="none" w:sz="0" w:space="0" w:color="auto"/>
        <w:bottom w:val="none" w:sz="0" w:space="0" w:color="auto"/>
        <w:right w:val="none" w:sz="0" w:space="0" w:color="auto"/>
      </w:divBdr>
    </w:div>
    <w:div w:id="1042903580">
      <w:marLeft w:val="0"/>
      <w:marRight w:val="0"/>
      <w:marTop w:val="0"/>
      <w:marBottom w:val="0"/>
      <w:divBdr>
        <w:top w:val="none" w:sz="0" w:space="0" w:color="auto"/>
        <w:left w:val="none" w:sz="0" w:space="0" w:color="auto"/>
        <w:bottom w:val="none" w:sz="0" w:space="0" w:color="auto"/>
        <w:right w:val="none" w:sz="0" w:space="0" w:color="auto"/>
      </w:divBdr>
    </w:div>
    <w:div w:id="1042903581">
      <w:marLeft w:val="0"/>
      <w:marRight w:val="0"/>
      <w:marTop w:val="0"/>
      <w:marBottom w:val="0"/>
      <w:divBdr>
        <w:top w:val="none" w:sz="0" w:space="0" w:color="auto"/>
        <w:left w:val="none" w:sz="0" w:space="0" w:color="auto"/>
        <w:bottom w:val="none" w:sz="0" w:space="0" w:color="auto"/>
        <w:right w:val="none" w:sz="0" w:space="0" w:color="auto"/>
      </w:divBdr>
    </w:div>
    <w:div w:id="1042903582">
      <w:marLeft w:val="0"/>
      <w:marRight w:val="0"/>
      <w:marTop w:val="0"/>
      <w:marBottom w:val="0"/>
      <w:divBdr>
        <w:top w:val="none" w:sz="0" w:space="0" w:color="auto"/>
        <w:left w:val="none" w:sz="0" w:space="0" w:color="auto"/>
        <w:bottom w:val="none" w:sz="0" w:space="0" w:color="auto"/>
        <w:right w:val="none" w:sz="0" w:space="0" w:color="auto"/>
      </w:divBdr>
    </w:div>
    <w:div w:id="1042903583">
      <w:marLeft w:val="0"/>
      <w:marRight w:val="0"/>
      <w:marTop w:val="0"/>
      <w:marBottom w:val="0"/>
      <w:divBdr>
        <w:top w:val="none" w:sz="0" w:space="0" w:color="auto"/>
        <w:left w:val="none" w:sz="0" w:space="0" w:color="auto"/>
        <w:bottom w:val="none" w:sz="0" w:space="0" w:color="auto"/>
        <w:right w:val="none" w:sz="0" w:space="0" w:color="auto"/>
      </w:divBdr>
    </w:div>
    <w:div w:id="1042903584">
      <w:marLeft w:val="0"/>
      <w:marRight w:val="0"/>
      <w:marTop w:val="0"/>
      <w:marBottom w:val="0"/>
      <w:divBdr>
        <w:top w:val="none" w:sz="0" w:space="0" w:color="auto"/>
        <w:left w:val="none" w:sz="0" w:space="0" w:color="auto"/>
        <w:bottom w:val="none" w:sz="0" w:space="0" w:color="auto"/>
        <w:right w:val="none" w:sz="0" w:space="0" w:color="auto"/>
      </w:divBdr>
    </w:div>
    <w:div w:id="1042903585">
      <w:marLeft w:val="0"/>
      <w:marRight w:val="0"/>
      <w:marTop w:val="0"/>
      <w:marBottom w:val="0"/>
      <w:divBdr>
        <w:top w:val="none" w:sz="0" w:space="0" w:color="auto"/>
        <w:left w:val="none" w:sz="0" w:space="0" w:color="auto"/>
        <w:bottom w:val="none" w:sz="0" w:space="0" w:color="auto"/>
        <w:right w:val="none" w:sz="0" w:space="0" w:color="auto"/>
      </w:divBdr>
    </w:div>
    <w:div w:id="1042903586">
      <w:marLeft w:val="0"/>
      <w:marRight w:val="0"/>
      <w:marTop w:val="0"/>
      <w:marBottom w:val="0"/>
      <w:divBdr>
        <w:top w:val="none" w:sz="0" w:space="0" w:color="auto"/>
        <w:left w:val="none" w:sz="0" w:space="0" w:color="auto"/>
        <w:bottom w:val="none" w:sz="0" w:space="0" w:color="auto"/>
        <w:right w:val="none" w:sz="0" w:space="0" w:color="auto"/>
      </w:divBdr>
    </w:div>
    <w:div w:id="1042903587">
      <w:marLeft w:val="0"/>
      <w:marRight w:val="0"/>
      <w:marTop w:val="0"/>
      <w:marBottom w:val="0"/>
      <w:divBdr>
        <w:top w:val="none" w:sz="0" w:space="0" w:color="auto"/>
        <w:left w:val="none" w:sz="0" w:space="0" w:color="auto"/>
        <w:bottom w:val="none" w:sz="0" w:space="0" w:color="auto"/>
        <w:right w:val="none" w:sz="0" w:space="0" w:color="auto"/>
      </w:divBdr>
    </w:div>
    <w:div w:id="1042903588">
      <w:marLeft w:val="0"/>
      <w:marRight w:val="0"/>
      <w:marTop w:val="0"/>
      <w:marBottom w:val="0"/>
      <w:divBdr>
        <w:top w:val="none" w:sz="0" w:space="0" w:color="auto"/>
        <w:left w:val="none" w:sz="0" w:space="0" w:color="auto"/>
        <w:bottom w:val="none" w:sz="0" w:space="0" w:color="auto"/>
        <w:right w:val="none" w:sz="0" w:space="0" w:color="auto"/>
      </w:divBdr>
    </w:div>
    <w:div w:id="1042903589">
      <w:marLeft w:val="0"/>
      <w:marRight w:val="0"/>
      <w:marTop w:val="0"/>
      <w:marBottom w:val="0"/>
      <w:divBdr>
        <w:top w:val="none" w:sz="0" w:space="0" w:color="auto"/>
        <w:left w:val="none" w:sz="0" w:space="0" w:color="auto"/>
        <w:bottom w:val="none" w:sz="0" w:space="0" w:color="auto"/>
        <w:right w:val="none" w:sz="0" w:space="0" w:color="auto"/>
      </w:divBdr>
    </w:div>
    <w:div w:id="1042903590">
      <w:marLeft w:val="0"/>
      <w:marRight w:val="0"/>
      <w:marTop w:val="0"/>
      <w:marBottom w:val="0"/>
      <w:divBdr>
        <w:top w:val="none" w:sz="0" w:space="0" w:color="auto"/>
        <w:left w:val="none" w:sz="0" w:space="0" w:color="auto"/>
        <w:bottom w:val="none" w:sz="0" w:space="0" w:color="auto"/>
        <w:right w:val="none" w:sz="0" w:space="0" w:color="auto"/>
      </w:divBdr>
    </w:div>
    <w:div w:id="1042903591">
      <w:marLeft w:val="0"/>
      <w:marRight w:val="0"/>
      <w:marTop w:val="0"/>
      <w:marBottom w:val="0"/>
      <w:divBdr>
        <w:top w:val="none" w:sz="0" w:space="0" w:color="auto"/>
        <w:left w:val="none" w:sz="0" w:space="0" w:color="auto"/>
        <w:bottom w:val="none" w:sz="0" w:space="0" w:color="auto"/>
        <w:right w:val="none" w:sz="0" w:space="0" w:color="auto"/>
      </w:divBdr>
    </w:div>
    <w:div w:id="1042903592">
      <w:marLeft w:val="0"/>
      <w:marRight w:val="0"/>
      <w:marTop w:val="0"/>
      <w:marBottom w:val="0"/>
      <w:divBdr>
        <w:top w:val="none" w:sz="0" w:space="0" w:color="auto"/>
        <w:left w:val="none" w:sz="0" w:space="0" w:color="auto"/>
        <w:bottom w:val="none" w:sz="0" w:space="0" w:color="auto"/>
        <w:right w:val="none" w:sz="0" w:space="0" w:color="auto"/>
      </w:divBdr>
    </w:div>
    <w:div w:id="1042903593">
      <w:marLeft w:val="0"/>
      <w:marRight w:val="0"/>
      <w:marTop w:val="0"/>
      <w:marBottom w:val="0"/>
      <w:divBdr>
        <w:top w:val="none" w:sz="0" w:space="0" w:color="auto"/>
        <w:left w:val="none" w:sz="0" w:space="0" w:color="auto"/>
        <w:bottom w:val="none" w:sz="0" w:space="0" w:color="auto"/>
        <w:right w:val="none" w:sz="0" w:space="0" w:color="auto"/>
      </w:divBdr>
    </w:div>
    <w:div w:id="1042903594">
      <w:marLeft w:val="0"/>
      <w:marRight w:val="0"/>
      <w:marTop w:val="0"/>
      <w:marBottom w:val="0"/>
      <w:divBdr>
        <w:top w:val="none" w:sz="0" w:space="0" w:color="auto"/>
        <w:left w:val="none" w:sz="0" w:space="0" w:color="auto"/>
        <w:bottom w:val="none" w:sz="0" w:space="0" w:color="auto"/>
        <w:right w:val="none" w:sz="0" w:space="0" w:color="auto"/>
      </w:divBdr>
    </w:div>
    <w:div w:id="1042903595">
      <w:marLeft w:val="0"/>
      <w:marRight w:val="0"/>
      <w:marTop w:val="0"/>
      <w:marBottom w:val="0"/>
      <w:divBdr>
        <w:top w:val="none" w:sz="0" w:space="0" w:color="auto"/>
        <w:left w:val="none" w:sz="0" w:space="0" w:color="auto"/>
        <w:bottom w:val="none" w:sz="0" w:space="0" w:color="auto"/>
        <w:right w:val="none" w:sz="0" w:space="0" w:color="auto"/>
      </w:divBdr>
    </w:div>
    <w:div w:id="1042903596">
      <w:marLeft w:val="0"/>
      <w:marRight w:val="0"/>
      <w:marTop w:val="0"/>
      <w:marBottom w:val="0"/>
      <w:divBdr>
        <w:top w:val="none" w:sz="0" w:space="0" w:color="auto"/>
        <w:left w:val="none" w:sz="0" w:space="0" w:color="auto"/>
        <w:bottom w:val="none" w:sz="0" w:space="0" w:color="auto"/>
        <w:right w:val="none" w:sz="0" w:space="0" w:color="auto"/>
      </w:divBdr>
    </w:div>
    <w:div w:id="1042903597">
      <w:marLeft w:val="0"/>
      <w:marRight w:val="0"/>
      <w:marTop w:val="0"/>
      <w:marBottom w:val="0"/>
      <w:divBdr>
        <w:top w:val="none" w:sz="0" w:space="0" w:color="auto"/>
        <w:left w:val="none" w:sz="0" w:space="0" w:color="auto"/>
        <w:bottom w:val="none" w:sz="0" w:space="0" w:color="auto"/>
        <w:right w:val="none" w:sz="0" w:space="0" w:color="auto"/>
      </w:divBdr>
    </w:div>
    <w:div w:id="1106270958">
      <w:bodyDiv w:val="1"/>
      <w:marLeft w:val="0"/>
      <w:marRight w:val="0"/>
      <w:marTop w:val="0"/>
      <w:marBottom w:val="0"/>
      <w:divBdr>
        <w:top w:val="none" w:sz="0" w:space="0" w:color="auto"/>
        <w:left w:val="none" w:sz="0" w:space="0" w:color="auto"/>
        <w:bottom w:val="none" w:sz="0" w:space="0" w:color="auto"/>
        <w:right w:val="none" w:sz="0" w:space="0" w:color="auto"/>
      </w:divBdr>
      <w:divsChild>
        <w:div w:id="1072314660">
          <w:marLeft w:val="0"/>
          <w:marRight w:val="0"/>
          <w:marTop w:val="0"/>
          <w:marBottom w:val="0"/>
          <w:divBdr>
            <w:top w:val="none" w:sz="0" w:space="0" w:color="auto"/>
            <w:left w:val="single" w:sz="6" w:space="15" w:color="006666"/>
            <w:bottom w:val="single" w:sz="6" w:space="0" w:color="006666"/>
            <w:right w:val="single" w:sz="6" w:space="15" w:color="006666"/>
          </w:divBdr>
          <w:divsChild>
            <w:div w:id="1572538457">
              <w:marLeft w:val="0"/>
              <w:marRight w:val="0"/>
              <w:marTop w:val="0"/>
              <w:marBottom w:val="0"/>
              <w:divBdr>
                <w:top w:val="none" w:sz="0" w:space="0" w:color="auto"/>
                <w:left w:val="none" w:sz="0" w:space="0" w:color="auto"/>
                <w:bottom w:val="none" w:sz="0" w:space="0" w:color="auto"/>
                <w:right w:val="none" w:sz="0" w:space="0" w:color="auto"/>
              </w:divBdr>
              <w:divsChild>
                <w:div w:id="151531079">
                  <w:marLeft w:val="0"/>
                  <w:marRight w:val="0"/>
                  <w:marTop w:val="0"/>
                  <w:marBottom w:val="0"/>
                  <w:divBdr>
                    <w:top w:val="none" w:sz="0" w:space="0" w:color="auto"/>
                    <w:left w:val="none" w:sz="0" w:space="0" w:color="auto"/>
                    <w:bottom w:val="none" w:sz="0" w:space="0" w:color="auto"/>
                    <w:right w:val="none" w:sz="0" w:space="0" w:color="auto"/>
                  </w:divBdr>
                  <w:divsChild>
                    <w:div w:id="155604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365993">
      <w:bodyDiv w:val="1"/>
      <w:marLeft w:val="0"/>
      <w:marRight w:val="0"/>
      <w:marTop w:val="0"/>
      <w:marBottom w:val="0"/>
      <w:divBdr>
        <w:top w:val="none" w:sz="0" w:space="0" w:color="auto"/>
        <w:left w:val="none" w:sz="0" w:space="0" w:color="auto"/>
        <w:bottom w:val="none" w:sz="0" w:space="0" w:color="auto"/>
        <w:right w:val="none" w:sz="0" w:space="0" w:color="auto"/>
      </w:divBdr>
      <w:divsChild>
        <w:div w:id="1486511619">
          <w:marLeft w:val="0"/>
          <w:marRight w:val="0"/>
          <w:marTop w:val="0"/>
          <w:marBottom w:val="0"/>
          <w:divBdr>
            <w:top w:val="none" w:sz="0" w:space="0" w:color="auto"/>
            <w:left w:val="none" w:sz="0" w:space="0" w:color="auto"/>
            <w:bottom w:val="none" w:sz="0" w:space="0" w:color="auto"/>
            <w:right w:val="none" w:sz="0" w:space="0" w:color="auto"/>
          </w:divBdr>
          <w:divsChild>
            <w:div w:id="1015329">
              <w:marLeft w:val="0"/>
              <w:marRight w:val="0"/>
              <w:marTop w:val="0"/>
              <w:marBottom w:val="0"/>
              <w:divBdr>
                <w:top w:val="none" w:sz="0" w:space="0" w:color="auto"/>
                <w:left w:val="none" w:sz="0" w:space="0" w:color="auto"/>
                <w:bottom w:val="none" w:sz="0" w:space="0" w:color="auto"/>
                <w:right w:val="none" w:sz="0" w:space="0" w:color="auto"/>
              </w:divBdr>
              <w:divsChild>
                <w:div w:id="1318412331">
                  <w:marLeft w:val="0"/>
                  <w:marRight w:val="0"/>
                  <w:marTop w:val="0"/>
                  <w:marBottom w:val="0"/>
                  <w:divBdr>
                    <w:top w:val="none" w:sz="0" w:space="0" w:color="auto"/>
                    <w:left w:val="none" w:sz="0" w:space="0" w:color="auto"/>
                    <w:bottom w:val="none" w:sz="0" w:space="0" w:color="auto"/>
                    <w:right w:val="none" w:sz="0" w:space="0" w:color="auto"/>
                  </w:divBdr>
                  <w:divsChild>
                    <w:div w:id="571278058">
                      <w:marLeft w:val="0"/>
                      <w:marRight w:val="0"/>
                      <w:marTop w:val="0"/>
                      <w:marBottom w:val="0"/>
                      <w:divBdr>
                        <w:top w:val="none" w:sz="0" w:space="0" w:color="auto"/>
                        <w:left w:val="none" w:sz="0" w:space="0" w:color="auto"/>
                        <w:bottom w:val="none" w:sz="0" w:space="0" w:color="auto"/>
                        <w:right w:val="none" w:sz="0" w:space="0" w:color="auto"/>
                      </w:divBdr>
                      <w:divsChild>
                        <w:div w:id="1646810012">
                          <w:marLeft w:val="0"/>
                          <w:marRight w:val="0"/>
                          <w:marTop w:val="0"/>
                          <w:marBottom w:val="0"/>
                          <w:divBdr>
                            <w:top w:val="none" w:sz="0" w:space="0" w:color="auto"/>
                            <w:left w:val="none" w:sz="0" w:space="0" w:color="auto"/>
                            <w:bottom w:val="none" w:sz="0" w:space="0" w:color="auto"/>
                            <w:right w:val="none" w:sz="0" w:space="0" w:color="auto"/>
                          </w:divBdr>
                          <w:divsChild>
                            <w:div w:id="145324533">
                              <w:marLeft w:val="0"/>
                              <w:marRight w:val="0"/>
                              <w:marTop w:val="0"/>
                              <w:marBottom w:val="0"/>
                              <w:divBdr>
                                <w:top w:val="none" w:sz="0" w:space="0" w:color="auto"/>
                                <w:left w:val="none" w:sz="0" w:space="0" w:color="auto"/>
                                <w:bottom w:val="none" w:sz="0" w:space="0" w:color="auto"/>
                                <w:right w:val="none" w:sz="0" w:space="0" w:color="auto"/>
                              </w:divBdr>
                              <w:divsChild>
                                <w:div w:id="1499661125">
                                  <w:marLeft w:val="0"/>
                                  <w:marRight w:val="0"/>
                                  <w:marTop w:val="150"/>
                                  <w:marBottom w:val="150"/>
                                  <w:divBdr>
                                    <w:top w:val="none" w:sz="0" w:space="0" w:color="auto"/>
                                    <w:left w:val="none" w:sz="0" w:space="0" w:color="auto"/>
                                    <w:bottom w:val="none" w:sz="0" w:space="0" w:color="auto"/>
                                    <w:right w:val="none" w:sz="0" w:space="0" w:color="auto"/>
                                  </w:divBdr>
                                  <w:divsChild>
                                    <w:div w:id="2045788974">
                                      <w:marLeft w:val="0"/>
                                      <w:marRight w:val="0"/>
                                      <w:marTop w:val="0"/>
                                      <w:marBottom w:val="0"/>
                                      <w:divBdr>
                                        <w:top w:val="none" w:sz="0" w:space="0" w:color="auto"/>
                                        <w:left w:val="none" w:sz="0" w:space="0" w:color="auto"/>
                                        <w:bottom w:val="none" w:sz="0" w:space="0" w:color="auto"/>
                                        <w:right w:val="none" w:sz="0" w:space="0" w:color="auto"/>
                                      </w:divBdr>
                                      <w:divsChild>
                                        <w:div w:id="133768698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7062982">
      <w:bodyDiv w:val="1"/>
      <w:marLeft w:val="0"/>
      <w:marRight w:val="0"/>
      <w:marTop w:val="0"/>
      <w:marBottom w:val="0"/>
      <w:divBdr>
        <w:top w:val="none" w:sz="0" w:space="0" w:color="auto"/>
        <w:left w:val="none" w:sz="0" w:space="0" w:color="auto"/>
        <w:bottom w:val="none" w:sz="0" w:space="0" w:color="auto"/>
        <w:right w:val="none" w:sz="0" w:space="0" w:color="auto"/>
      </w:divBdr>
    </w:div>
    <w:div w:id="1264342274">
      <w:bodyDiv w:val="1"/>
      <w:marLeft w:val="0"/>
      <w:marRight w:val="0"/>
      <w:marTop w:val="0"/>
      <w:marBottom w:val="0"/>
      <w:divBdr>
        <w:top w:val="none" w:sz="0" w:space="0" w:color="auto"/>
        <w:left w:val="none" w:sz="0" w:space="0" w:color="auto"/>
        <w:bottom w:val="none" w:sz="0" w:space="0" w:color="auto"/>
        <w:right w:val="none" w:sz="0" w:space="0" w:color="auto"/>
      </w:divBdr>
    </w:div>
    <w:div w:id="1396393971">
      <w:bodyDiv w:val="1"/>
      <w:marLeft w:val="0"/>
      <w:marRight w:val="0"/>
      <w:marTop w:val="0"/>
      <w:marBottom w:val="0"/>
      <w:divBdr>
        <w:top w:val="none" w:sz="0" w:space="0" w:color="auto"/>
        <w:left w:val="none" w:sz="0" w:space="0" w:color="auto"/>
        <w:bottom w:val="none" w:sz="0" w:space="0" w:color="auto"/>
        <w:right w:val="none" w:sz="0" w:space="0" w:color="auto"/>
      </w:divBdr>
      <w:divsChild>
        <w:div w:id="1392583848">
          <w:marLeft w:val="0"/>
          <w:marRight w:val="0"/>
          <w:marTop w:val="0"/>
          <w:marBottom w:val="0"/>
          <w:divBdr>
            <w:top w:val="none" w:sz="0" w:space="0" w:color="auto"/>
            <w:left w:val="single" w:sz="6" w:space="15" w:color="006666"/>
            <w:bottom w:val="single" w:sz="6" w:space="0" w:color="006666"/>
            <w:right w:val="single" w:sz="6" w:space="15" w:color="006666"/>
          </w:divBdr>
          <w:divsChild>
            <w:div w:id="1342271541">
              <w:marLeft w:val="0"/>
              <w:marRight w:val="0"/>
              <w:marTop w:val="0"/>
              <w:marBottom w:val="0"/>
              <w:divBdr>
                <w:top w:val="none" w:sz="0" w:space="0" w:color="auto"/>
                <w:left w:val="none" w:sz="0" w:space="0" w:color="auto"/>
                <w:bottom w:val="none" w:sz="0" w:space="0" w:color="auto"/>
                <w:right w:val="none" w:sz="0" w:space="0" w:color="auto"/>
              </w:divBdr>
              <w:divsChild>
                <w:div w:id="768701013">
                  <w:marLeft w:val="0"/>
                  <w:marRight w:val="0"/>
                  <w:marTop w:val="0"/>
                  <w:marBottom w:val="0"/>
                  <w:divBdr>
                    <w:top w:val="none" w:sz="0" w:space="0" w:color="auto"/>
                    <w:left w:val="none" w:sz="0" w:space="0" w:color="auto"/>
                    <w:bottom w:val="none" w:sz="0" w:space="0" w:color="auto"/>
                    <w:right w:val="none" w:sz="0" w:space="0" w:color="auto"/>
                  </w:divBdr>
                  <w:divsChild>
                    <w:div w:id="9862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806638">
      <w:bodyDiv w:val="1"/>
      <w:marLeft w:val="0"/>
      <w:marRight w:val="0"/>
      <w:marTop w:val="0"/>
      <w:marBottom w:val="0"/>
      <w:divBdr>
        <w:top w:val="none" w:sz="0" w:space="0" w:color="auto"/>
        <w:left w:val="none" w:sz="0" w:space="0" w:color="auto"/>
        <w:bottom w:val="none" w:sz="0" w:space="0" w:color="auto"/>
        <w:right w:val="none" w:sz="0" w:space="0" w:color="auto"/>
      </w:divBdr>
    </w:div>
    <w:div w:id="1493255997">
      <w:bodyDiv w:val="1"/>
      <w:marLeft w:val="0"/>
      <w:marRight w:val="0"/>
      <w:marTop w:val="0"/>
      <w:marBottom w:val="0"/>
      <w:divBdr>
        <w:top w:val="none" w:sz="0" w:space="0" w:color="auto"/>
        <w:left w:val="none" w:sz="0" w:space="0" w:color="auto"/>
        <w:bottom w:val="none" w:sz="0" w:space="0" w:color="auto"/>
        <w:right w:val="none" w:sz="0" w:space="0" w:color="auto"/>
      </w:divBdr>
    </w:div>
    <w:div w:id="1529026738">
      <w:bodyDiv w:val="1"/>
      <w:marLeft w:val="0"/>
      <w:marRight w:val="0"/>
      <w:marTop w:val="0"/>
      <w:marBottom w:val="0"/>
      <w:divBdr>
        <w:top w:val="none" w:sz="0" w:space="0" w:color="auto"/>
        <w:left w:val="none" w:sz="0" w:space="0" w:color="auto"/>
        <w:bottom w:val="none" w:sz="0" w:space="0" w:color="auto"/>
        <w:right w:val="none" w:sz="0" w:space="0" w:color="auto"/>
      </w:divBdr>
    </w:div>
    <w:div w:id="1668291810">
      <w:bodyDiv w:val="1"/>
      <w:marLeft w:val="0"/>
      <w:marRight w:val="0"/>
      <w:marTop w:val="0"/>
      <w:marBottom w:val="0"/>
      <w:divBdr>
        <w:top w:val="none" w:sz="0" w:space="0" w:color="auto"/>
        <w:left w:val="none" w:sz="0" w:space="0" w:color="auto"/>
        <w:bottom w:val="none" w:sz="0" w:space="0" w:color="auto"/>
        <w:right w:val="none" w:sz="0" w:space="0" w:color="auto"/>
      </w:divBdr>
      <w:divsChild>
        <w:div w:id="778835405">
          <w:marLeft w:val="0"/>
          <w:marRight w:val="0"/>
          <w:marTop w:val="0"/>
          <w:marBottom w:val="0"/>
          <w:divBdr>
            <w:top w:val="none" w:sz="0" w:space="0" w:color="auto"/>
            <w:left w:val="single" w:sz="6" w:space="15" w:color="006666"/>
            <w:bottom w:val="single" w:sz="6" w:space="0" w:color="006666"/>
            <w:right w:val="single" w:sz="6" w:space="15" w:color="006666"/>
          </w:divBdr>
          <w:divsChild>
            <w:div w:id="1835605265">
              <w:marLeft w:val="0"/>
              <w:marRight w:val="0"/>
              <w:marTop w:val="0"/>
              <w:marBottom w:val="0"/>
              <w:divBdr>
                <w:top w:val="none" w:sz="0" w:space="0" w:color="auto"/>
                <w:left w:val="none" w:sz="0" w:space="0" w:color="auto"/>
                <w:bottom w:val="none" w:sz="0" w:space="0" w:color="auto"/>
                <w:right w:val="none" w:sz="0" w:space="0" w:color="auto"/>
              </w:divBdr>
              <w:divsChild>
                <w:div w:id="1213006724">
                  <w:marLeft w:val="0"/>
                  <w:marRight w:val="0"/>
                  <w:marTop w:val="0"/>
                  <w:marBottom w:val="0"/>
                  <w:divBdr>
                    <w:top w:val="none" w:sz="0" w:space="0" w:color="auto"/>
                    <w:left w:val="none" w:sz="0" w:space="0" w:color="auto"/>
                    <w:bottom w:val="none" w:sz="0" w:space="0" w:color="auto"/>
                    <w:right w:val="none" w:sz="0" w:space="0" w:color="auto"/>
                  </w:divBdr>
                  <w:divsChild>
                    <w:div w:id="198353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726168">
      <w:bodyDiv w:val="1"/>
      <w:marLeft w:val="0"/>
      <w:marRight w:val="0"/>
      <w:marTop w:val="0"/>
      <w:marBottom w:val="0"/>
      <w:divBdr>
        <w:top w:val="none" w:sz="0" w:space="0" w:color="auto"/>
        <w:left w:val="none" w:sz="0" w:space="0" w:color="auto"/>
        <w:bottom w:val="none" w:sz="0" w:space="0" w:color="auto"/>
        <w:right w:val="none" w:sz="0" w:space="0" w:color="auto"/>
      </w:divBdr>
    </w:div>
    <w:div w:id="1711421701">
      <w:bodyDiv w:val="1"/>
      <w:marLeft w:val="0"/>
      <w:marRight w:val="0"/>
      <w:marTop w:val="0"/>
      <w:marBottom w:val="0"/>
      <w:divBdr>
        <w:top w:val="none" w:sz="0" w:space="0" w:color="auto"/>
        <w:left w:val="none" w:sz="0" w:space="0" w:color="auto"/>
        <w:bottom w:val="none" w:sz="0" w:space="0" w:color="auto"/>
        <w:right w:val="none" w:sz="0" w:space="0" w:color="auto"/>
      </w:divBdr>
    </w:div>
    <w:div w:id="1767186890">
      <w:bodyDiv w:val="1"/>
      <w:marLeft w:val="0"/>
      <w:marRight w:val="0"/>
      <w:marTop w:val="0"/>
      <w:marBottom w:val="0"/>
      <w:divBdr>
        <w:top w:val="none" w:sz="0" w:space="0" w:color="auto"/>
        <w:left w:val="none" w:sz="0" w:space="0" w:color="auto"/>
        <w:bottom w:val="none" w:sz="0" w:space="0" w:color="auto"/>
        <w:right w:val="none" w:sz="0" w:space="0" w:color="auto"/>
      </w:divBdr>
    </w:div>
    <w:div w:id="1883470138">
      <w:bodyDiv w:val="1"/>
      <w:marLeft w:val="0"/>
      <w:marRight w:val="0"/>
      <w:marTop w:val="0"/>
      <w:marBottom w:val="0"/>
      <w:divBdr>
        <w:top w:val="none" w:sz="0" w:space="0" w:color="auto"/>
        <w:left w:val="none" w:sz="0" w:space="0" w:color="auto"/>
        <w:bottom w:val="none" w:sz="0" w:space="0" w:color="auto"/>
        <w:right w:val="none" w:sz="0" w:space="0" w:color="auto"/>
      </w:divBdr>
    </w:div>
    <w:div w:id="1917586422">
      <w:bodyDiv w:val="1"/>
      <w:marLeft w:val="0"/>
      <w:marRight w:val="0"/>
      <w:marTop w:val="0"/>
      <w:marBottom w:val="0"/>
      <w:divBdr>
        <w:top w:val="none" w:sz="0" w:space="0" w:color="auto"/>
        <w:left w:val="none" w:sz="0" w:space="0" w:color="auto"/>
        <w:bottom w:val="none" w:sz="0" w:space="0" w:color="auto"/>
        <w:right w:val="none" w:sz="0" w:space="0" w:color="auto"/>
      </w:divBdr>
    </w:div>
    <w:div w:id="2001035643">
      <w:bodyDiv w:val="1"/>
      <w:marLeft w:val="0"/>
      <w:marRight w:val="0"/>
      <w:marTop w:val="0"/>
      <w:marBottom w:val="0"/>
      <w:divBdr>
        <w:top w:val="none" w:sz="0" w:space="0" w:color="auto"/>
        <w:left w:val="none" w:sz="0" w:space="0" w:color="auto"/>
        <w:bottom w:val="none" w:sz="0" w:space="0" w:color="auto"/>
        <w:right w:val="none" w:sz="0" w:space="0" w:color="auto"/>
      </w:divBdr>
    </w:div>
    <w:div w:id="2025088228">
      <w:bodyDiv w:val="1"/>
      <w:marLeft w:val="0"/>
      <w:marRight w:val="0"/>
      <w:marTop w:val="0"/>
      <w:marBottom w:val="0"/>
      <w:divBdr>
        <w:top w:val="none" w:sz="0" w:space="0" w:color="auto"/>
        <w:left w:val="none" w:sz="0" w:space="0" w:color="auto"/>
        <w:bottom w:val="none" w:sz="0" w:space="0" w:color="auto"/>
        <w:right w:val="none" w:sz="0" w:space="0" w:color="auto"/>
      </w:divBdr>
    </w:div>
    <w:div w:id="2058779441">
      <w:bodyDiv w:val="1"/>
      <w:marLeft w:val="0"/>
      <w:marRight w:val="0"/>
      <w:marTop w:val="0"/>
      <w:marBottom w:val="0"/>
      <w:divBdr>
        <w:top w:val="none" w:sz="0" w:space="0" w:color="auto"/>
        <w:left w:val="none" w:sz="0" w:space="0" w:color="auto"/>
        <w:bottom w:val="none" w:sz="0" w:space="0" w:color="auto"/>
        <w:right w:val="none" w:sz="0" w:space="0" w:color="auto"/>
      </w:divBdr>
      <w:divsChild>
        <w:div w:id="926159970">
          <w:marLeft w:val="0"/>
          <w:marRight w:val="0"/>
          <w:marTop w:val="0"/>
          <w:marBottom w:val="0"/>
          <w:divBdr>
            <w:top w:val="none" w:sz="0" w:space="0" w:color="auto"/>
            <w:left w:val="single" w:sz="6" w:space="15" w:color="006666"/>
            <w:bottom w:val="single" w:sz="6" w:space="0" w:color="006666"/>
            <w:right w:val="single" w:sz="6" w:space="15" w:color="006666"/>
          </w:divBdr>
          <w:divsChild>
            <w:div w:id="853569185">
              <w:marLeft w:val="0"/>
              <w:marRight w:val="0"/>
              <w:marTop w:val="0"/>
              <w:marBottom w:val="0"/>
              <w:divBdr>
                <w:top w:val="none" w:sz="0" w:space="0" w:color="auto"/>
                <w:left w:val="none" w:sz="0" w:space="0" w:color="auto"/>
                <w:bottom w:val="none" w:sz="0" w:space="0" w:color="auto"/>
                <w:right w:val="none" w:sz="0" w:space="0" w:color="auto"/>
              </w:divBdr>
              <w:divsChild>
                <w:div w:id="138972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455466">
      <w:bodyDiv w:val="1"/>
      <w:marLeft w:val="0"/>
      <w:marRight w:val="0"/>
      <w:marTop w:val="0"/>
      <w:marBottom w:val="0"/>
      <w:divBdr>
        <w:top w:val="none" w:sz="0" w:space="0" w:color="auto"/>
        <w:left w:val="none" w:sz="0" w:space="0" w:color="auto"/>
        <w:bottom w:val="none" w:sz="0" w:space="0" w:color="auto"/>
        <w:right w:val="none" w:sz="0" w:space="0" w:color="auto"/>
      </w:divBdr>
      <w:divsChild>
        <w:div w:id="215048592">
          <w:marLeft w:val="0"/>
          <w:marRight w:val="0"/>
          <w:marTop w:val="0"/>
          <w:marBottom w:val="0"/>
          <w:divBdr>
            <w:top w:val="none" w:sz="0" w:space="0" w:color="auto"/>
            <w:left w:val="single" w:sz="6" w:space="15" w:color="006666"/>
            <w:bottom w:val="single" w:sz="6" w:space="0" w:color="006666"/>
            <w:right w:val="single" w:sz="6" w:space="15" w:color="006666"/>
          </w:divBdr>
          <w:divsChild>
            <w:div w:id="1403913987">
              <w:marLeft w:val="0"/>
              <w:marRight w:val="0"/>
              <w:marTop w:val="0"/>
              <w:marBottom w:val="0"/>
              <w:divBdr>
                <w:top w:val="none" w:sz="0" w:space="0" w:color="auto"/>
                <w:left w:val="none" w:sz="0" w:space="0" w:color="auto"/>
                <w:bottom w:val="none" w:sz="0" w:space="0" w:color="auto"/>
                <w:right w:val="none" w:sz="0" w:space="0" w:color="auto"/>
              </w:divBdr>
              <w:divsChild>
                <w:div w:id="1406028410">
                  <w:marLeft w:val="0"/>
                  <w:marRight w:val="0"/>
                  <w:marTop w:val="0"/>
                  <w:marBottom w:val="0"/>
                  <w:divBdr>
                    <w:top w:val="none" w:sz="0" w:space="0" w:color="auto"/>
                    <w:left w:val="none" w:sz="0" w:space="0" w:color="auto"/>
                    <w:bottom w:val="none" w:sz="0" w:space="0" w:color="auto"/>
                    <w:right w:val="none" w:sz="0" w:space="0" w:color="auto"/>
                  </w:divBdr>
                  <w:divsChild>
                    <w:div w:id="67184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705860">
      <w:bodyDiv w:val="1"/>
      <w:marLeft w:val="0"/>
      <w:marRight w:val="0"/>
      <w:marTop w:val="0"/>
      <w:marBottom w:val="0"/>
      <w:divBdr>
        <w:top w:val="none" w:sz="0" w:space="0" w:color="auto"/>
        <w:left w:val="none" w:sz="0" w:space="0" w:color="auto"/>
        <w:bottom w:val="none" w:sz="0" w:space="0" w:color="auto"/>
        <w:right w:val="none" w:sz="0" w:space="0" w:color="auto"/>
      </w:divBdr>
    </w:div>
    <w:div w:id="2102215399">
      <w:bodyDiv w:val="1"/>
      <w:marLeft w:val="0"/>
      <w:marRight w:val="0"/>
      <w:marTop w:val="0"/>
      <w:marBottom w:val="0"/>
      <w:divBdr>
        <w:top w:val="none" w:sz="0" w:space="0" w:color="auto"/>
        <w:left w:val="none" w:sz="0" w:space="0" w:color="auto"/>
        <w:bottom w:val="none" w:sz="0" w:space="0" w:color="auto"/>
        <w:right w:val="none" w:sz="0" w:space="0" w:color="auto"/>
      </w:divBdr>
    </w:div>
    <w:div w:id="2111849674">
      <w:bodyDiv w:val="1"/>
      <w:marLeft w:val="0"/>
      <w:marRight w:val="0"/>
      <w:marTop w:val="0"/>
      <w:marBottom w:val="0"/>
      <w:divBdr>
        <w:top w:val="none" w:sz="0" w:space="0" w:color="auto"/>
        <w:left w:val="none" w:sz="0" w:space="0" w:color="auto"/>
        <w:bottom w:val="none" w:sz="0" w:space="0" w:color="auto"/>
        <w:right w:val="none" w:sz="0" w:space="0" w:color="auto"/>
      </w:divBdr>
    </w:div>
    <w:div w:id="2128356413">
      <w:bodyDiv w:val="1"/>
      <w:marLeft w:val="0"/>
      <w:marRight w:val="0"/>
      <w:marTop w:val="0"/>
      <w:marBottom w:val="0"/>
      <w:divBdr>
        <w:top w:val="none" w:sz="0" w:space="0" w:color="auto"/>
        <w:left w:val="none" w:sz="0" w:space="0" w:color="auto"/>
        <w:bottom w:val="none" w:sz="0" w:space="0" w:color="auto"/>
        <w:right w:val="none" w:sz="0" w:space="0" w:color="auto"/>
      </w:divBdr>
    </w:div>
    <w:div w:id="2133016411">
      <w:bodyDiv w:val="1"/>
      <w:marLeft w:val="0"/>
      <w:marRight w:val="0"/>
      <w:marTop w:val="0"/>
      <w:marBottom w:val="0"/>
      <w:divBdr>
        <w:top w:val="none" w:sz="0" w:space="0" w:color="auto"/>
        <w:left w:val="none" w:sz="0" w:space="0" w:color="auto"/>
        <w:bottom w:val="none" w:sz="0" w:space="0" w:color="auto"/>
        <w:right w:val="none" w:sz="0" w:space="0" w:color="auto"/>
      </w:divBdr>
    </w:div>
    <w:div w:id="2140875771">
      <w:bodyDiv w:val="1"/>
      <w:marLeft w:val="0"/>
      <w:marRight w:val="0"/>
      <w:marTop w:val="0"/>
      <w:marBottom w:val="0"/>
      <w:divBdr>
        <w:top w:val="none" w:sz="0" w:space="0" w:color="auto"/>
        <w:left w:val="none" w:sz="0" w:space="0" w:color="auto"/>
        <w:bottom w:val="none" w:sz="0" w:space="0" w:color="auto"/>
        <w:right w:val="none" w:sz="0" w:space="0" w:color="auto"/>
      </w:divBdr>
    </w:div>
    <w:div w:id="2145463212">
      <w:bodyDiv w:val="1"/>
      <w:marLeft w:val="0"/>
      <w:marRight w:val="0"/>
      <w:marTop w:val="0"/>
      <w:marBottom w:val="0"/>
      <w:divBdr>
        <w:top w:val="none" w:sz="0" w:space="0" w:color="auto"/>
        <w:left w:val="none" w:sz="0" w:space="0" w:color="auto"/>
        <w:bottom w:val="none" w:sz="0" w:space="0" w:color="auto"/>
        <w:right w:val="none" w:sz="0" w:space="0" w:color="auto"/>
      </w:divBdr>
      <w:divsChild>
        <w:div w:id="977026189">
          <w:marLeft w:val="0"/>
          <w:marRight w:val="0"/>
          <w:marTop w:val="0"/>
          <w:marBottom w:val="0"/>
          <w:divBdr>
            <w:top w:val="none" w:sz="0" w:space="0" w:color="auto"/>
            <w:left w:val="single" w:sz="6" w:space="15" w:color="006666"/>
            <w:bottom w:val="single" w:sz="6" w:space="0" w:color="006666"/>
            <w:right w:val="single" w:sz="6" w:space="15" w:color="006666"/>
          </w:divBdr>
          <w:divsChild>
            <w:div w:id="2106728809">
              <w:marLeft w:val="0"/>
              <w:marRight w:val="0"/>
              <w:marTop w:val="0"/>
              <w:marBottom w:val="0"/>
              <w:divBdr>
                <w:top w:val="none" w:sz="0" w:space="0" w:color="auto"/>
                <w:left w:val="none" w:sz="0" w:space="0" w:color="auto"/>
                <w:bottom w:val="none" w:sz="0" w:space="0" w:color="auto"/>
                <w:right w:val="none" w:sz="0" w:space="0" w:color="auto"/>
              </w:divBdr>
              <w:divsChild>
                <w:div w:id="124668323">
                  <w:marLeft w:val="0"/>
                  <w:marRight w:val="0"/>
                  <w:marTop w:val="0"/>
                  <w:marBottom w:val="0"/>
                  <w:divBdr>
                    <w:top w:val="none" w:sz="0" w:space="0" w:color="auto"/>
                    <w:left w:val="none" w:sz="0" w:space="0" w:color="auto"/>
                    <w:bottom w:val="none" w:sz="0" w:space="0" w:color="auto"/>
                    <w:right w:val="none" w:sz="0" w:space="0" w:color="auto"/>
                  </w:divBdr>
                  <w:divsChild>
                    <w:div w:id="158591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Z:\Data\Annual%20Data%20Report\Info%20Report%20Jan%202015\Information%20Report%202013-14%20v4.docx" TargetMode="External"/><Relationship Id="rId18" Type="http://schemas.openxmlformats.org/officeDocument/2006/relationships/image" Target="media/image7.jpg"/><Relationship Id="rId26" Type="http://schemas.openxmlformats.org/officeDocument/2006/relationships/image" Target="media/image13.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chart" Target="charts/chart5.xml"/><Relationship Id="rId42" Type="http://schemas.openxmlformats.org/officeDocument/2006/relationships/image" Target="media/image19.emf"/><Relationship Id="rId7" Type="http://schemas.openxmlformats.org/officeDocument/2006/relationships/footnotes" Target="footnotes.xml"/><Relationship Id="rId12" Type="http://schemas.openxmlformats.org/officeDocument/2006/relationships/hyperlink" Target="file:///Z:\Data\Annual%20Data%20Report\Info%20Report%20Jan%202015\Information%20Report%202013-14%20v4.docx" TargetMode="External"/><Relationship Id="rId17" Type="http://schemas.openxmlformats.org/officeDocument/2006/relationships/image" Target="media/image6.jpg"/><Relationship Id="rId25" Type="http://schemas.openxmlformats.org/officeDocument/2006/relationships/image" Target="media/image12.png"/><Relationship Id="rId33" Type="http://schemas.openxmlformats.org/officeDocument/2006/relationships/chart" Target="charts/chart4.xml"/><Relationship Id="rId38"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hart" Target="charts/chart3.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Z:\Data\Annual%20Data%20Report\Info%20Report%20Jan%202015\Information%20Report%202013-14%20v4.docx" TargetMode="External"/><Relationship Id="rId24" Type="http://schemas.openxmlformats.org/officeDocument/2006/relationships/image" Target="media/image11.jpg"/><Relationship Id="rId32" Type="http://schemas.openxmlformats.org/officeDocument/2006/relationships/image" Target="media/image18.png"/><Relationship Id="rId37" Type="http://schemas.openxmlformats.org/officeDocument/2006/relationships/chart" Target="charts/chart8.xm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chart" Target="charts/chart7.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chart" Target="charts/chart2.xml"/><Relationship Id="rId27" Type="http://schemas.openxmlformats.org/officeDocument/2006/relationships/image" Target="media/image14.png"/><Relationship Id="rId30" Type="http://schemas.openxmlformats.org/officeDocument/2006/relationships/image" Target="media/image16.jpg"/><Relationship Id="rId35" Type="http://schemas.openxmlformats.org/officeDocument/2006/relationships/chart" Target="charts/chart6.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dmin.cam.ac.uk/offices/education/review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internal\division\Human%20Resources\Equality%20and%20Diversity\Data\Annual%20Data%20Report\Info%20Report%20Jan%202015\Data%20for%20info%20report%2031July201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internal\division\Human%20Resources\Equality%20and%20Diversity\Data\Annual%20Data%20Report\Info%20Report%20Jan%202015\Data%20for%20info%20report%2031July201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internal\division\Human%20Resources\Equality%20and%20Diversity\Data\Annual%20Data%20Report\Info%20Report%20Jan%202015\Data%20for%20info%20report%2031July2014%20an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er31\AppData\Local\Microsoft\Windows\Temporary%20Internet%20Files\Content.Outlook\AN2BSSWW\student%20data%20for%20info%20report%2020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er31\AppData\Local\Microsoft\Windows\Temporary%20Internet%20Files\Content.Outlook\AN2BSSWW\student%20data%20for%20info%20report%2020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er31\AppData\Local\Microsoft\Windows\Temporary%20Internet%20Files\Content.Outlook\AN2BSSWW\student%20data%20for%20info%20report%2020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internal\division\Academic%20Division\Student%20Ops%20and%20Policy\Educational%20&amp;%20Student%20Policy\N%20Ranieri\E&amp;D\2013-14%20Graduate%20Admissions%20da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ner31\AppData\Local\Microsoft\Windows\Temporary%20Internet%20Files\Content.Outlook\AN2BSSWW\student%20data%20for%20info%20report%2020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ner31\AppData\Local\Microsoft\Windows\Temporary%20Internet%20Files\Content.Outlook\AN2BSSWW\student%20data%20for%20info%20report%20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'General Charts'!$B$77</c:f>
              <c:strCache>
                <c:ptCount val="1"/>
                <c:pt idx="0">
                  <c:v>Female</c:v>
                </c:pt>
              </c:strCache>
            </c:strRef>
          </c:tx>
          <c:invertIfNegative val="0"/>
          <c:cat>
            <c:strRef>
              <c:f>'General Charts'!$A$80:$A$82</c:f>
              <c:strCache>
                <c:ptCount val="3"/>
                <c:pt idx="0">
                  <c:v>Fixed-term contracts</c:v>
                </c:pt>
                <c:pt idx="1">
                  <c:v>Part-time contracts</c:v>
                </c:pt>
                <c:pt idx="2">
                  <c:v>Established Academic</c:v>
                </c:pt>
              </c:strCache>
            </c:strRef>
          </c:cat>
          <c:val>
            <c:numRef>
              <c:f>'General Charts'!$B$80:$B$82</c:f>
              <c:numCache>
                <c:formatCode>0.0%</c:formatCode>
                <c:ptCount val="3"/>
                <c:pt idx="0">
                  <c:v>0.24399999999999999</c:v>
                </c:pt>
                <c:pt idx="1">
                  <c:v>0.29299999999999998</c:v>
                </c:pt>
                <c:pt idx="2">
                  <c:v>0.82699999999999996</c:v>
                </c:pt>
              </c:numCache>
            </c:numRef>
          </c:val>
        </c:ser>
        <c:ser>
          <c:idx val="1"/>
          <c:order val="1"/>
          <c:tx>
            <c:strRef>
              <c:f>'General Charts'!$C$77</c:f>
              <c:strCache>
                <c:ptCount val="1"/>
                <c:pt idx="0">
                  <c:v>Male</c:v>
                </c:pt>
              </c:strCache>
            </c:strRef>
          </c:tx>
          <c:invertIfNegative val="0"/>
          <c:cat>
            <c:strRef>
              <c:f>'General Charts'!$A$80:$A$82</c:f>
              <c:strCache>
                <c:ptCount val="3"/>
                <c:pt idx="0">
                  <c:v>Fixed-term contracts</c:v>
                </c:pt>
                <c:pt idx="1">
                  <c:v>Part-time contracts</c:v>
                </c:pt>
                <c:pt idx="2">
                  <c:v>Established Academic</c:v>
                </c:pt>
              </c:strCache>
            </c:strRef>
          </c:cat>
          <c:val>
            <c:numRef>
              <c:f>'General Charts'!$C$80:$C$82</c:f>
              <c:numCache>
                <c:formatCode>0.0%</c:formatCode>
                <c:ptCount val="3"/>
                <c:pt idx="0">
                  <c:v>0.27500000000000002</c:v>
                </c:pt>
                <c:pt idx="1">
                  <c:v>0.11</c:v>
                </c:pt>
                <c:pt idx="2">
                  <c:v>0.93</c:v>
                </c:pt>
              </c:numCache>
            </c:numRef>
          </c:val>
        </c:ser>
        <c:dLbls>
          <c:dLblPos val="ctr"/>
          <c:showLegendKey val="0"/>
          <c:showVal val="1"/>
          <c:showCatName val="0"/>
          <c:showSerName val="0"/>
          <c:showPercent val="0"/>
          <c:showBubbleSize val="0"/>
        </c:dLbls>
        <c:gapWidth val="150"/>
        <c:axId val="77667712"/>
        <c:axId val="77698176"/>
      </c:barChart>
      <c:catAx>
        <c:axId val="77667712"/>
        <c:scaling>
          <c:orientation val="minMax"/>
        </c:scaling>
        <c:delete val="0"/>
        <c:axPos val="b"/>
        <c:majorTickMark val="out"/>
        <c:minorTickMark val="none"/>
        <c:tickLblPos val="nextTo"/>
        <c:crossAx val="77698176"/>
        <c:crosses val="autoZero"/>
        <c:auto val="1"/>
        <c:lblAlgn val="ctr"/>
        <c:lblOffset val="100"/>
        <c:noMultiLvlLbl val="0"/>
      </c:catAx>
      <c:valAx>
        <c:axId val="77698176"/>
        <c:scaling>
          <c:orientation val="minMax"/>
        </c:scaling>
        <c:delete val="0"/>
        <c:axPos val="l"/>
        <c:majorGridlines/>
        <c:numFmt formatCode="0.0%" sourceLinked="1"/>
        <c:majorTickMark val="out"/>
        <c:minorTickMark val="none"/>
        <c:tickLblPos val="nextTo"/>
        <c:crossAx val="77667712"/>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'General Charts'!$B$77</c:f>
              <c:strCache>
                <c:ptCount val="1"/>
                <c:pt idx="0">
                  <c:v>Female</c:v>
                </c:pt>
              </c:strCache>
            </c:strRef>
          </c:tx>
          <c:invertIfNegative val="0"/>
          <c:cat>
            <c:strRef>
              <c:f>'General Charts'!$A$78:$A$81</c:f>
              <c:strCache>
                <c:ptCount val="4"/>
                <c:pt idx="0">
                  <c:v>STEMM</c:v>
                </c:pt>
                <c:pt idx="1">
                  <c:v>AHSS</c:v>
                </c:pt>
                <c:pt idx="2">
                  <c:v>STEMM Academics</c:v>
                </c:pt>
                <c:pt idx="3">
                  <c:v>AHSS Academics</c:v>
                </c:pt>
              </c:strCache>
            </c:strRef>
          </c:cat>
          <c:val>
            <c:numRef>
              <c:f>'General Charts'!$B$78:$B$81</c:f>
              <c:numCache>
                <c:formatCode>General</c:formatCode>
                <c:ptCount val="4"/>
                <c:pt idx="0">
                  <c:v>3060</c:v>
                </c:pt>
                <c:pt idx="1">
                  <c:v>994</c:v>
                </c:pt>
                <c:pt idx="2">
                  <c:v>201</c:v>
                </c:pt>
                <c:pt idx="3">
                  <c:v>276</c:v>
                </c:pt>
              </c:numCache>
            </c:numRef>
          </c:val>
        </c:ser>
        <c:ser>
          <c:idx val="1"/>
          <c:order val="1"/>
          <c:tx>
            <c:strRef>
              <c:f>'General Charts'!$C$77</c:f>
              <c:strCache>
                <c:ptCount val="1"/>
                <c:pt idx="0">
                  <c:v>Male</c:v>
                </c:pt>
              </c:strCache>
            </c:strRef>
          </c:tx>
          <c:invertIfNegative val="0"/>
          <c:cat>
            <c:strRef>
              <c:f>'General Charts'!$A$78:$A$81</c:f>
              <c:strCache>
                <c:ptCount val="4"/>
                <c:pt idx="0">
                  <c:v>STEMM</c:v>
                </c:pt>
                <c:pt idx="1">
                  <c:v>AHSS</c:v>
                </c:pt>
                <c:pt idx="2">
                  <c:v>STEMM Academics</c:v>
                </c:pt>
                <c:pt idx="3">
                  <c:v>AHSS Academics</c:v>
                </c:pt>
              </c:strCache>
            </c:strRef>
          </c:cat>
          <c:val>
            <c:numRef>
              <c:f>'General Charts'!$C$78:$C$81</c:f>
              <c:numCache>
                <c:formatCode>General</c:formatCode>
                <c:ptCount val="4"/>
                <c:pt idx="0">
                  <c:v>3684</c:v>
                </c:pt>
                <c:pt idx="1">
                  <c:v>863</c:v>
                </c:pt>
                <c:pt idx="2">
                  <c:v>802</c:v>
                </c:pt>
                <c:pt idx="3">
                  <c:v>432</c:v>
                </c:pt>
              </c:numCache>
            </c:numRef>
          </c:val>
        </c:ser>
        <c:dLbls>
          <c:dLblPos val="ctr"/>
          <c:showLegendKey val="0"/>
          <c:showVal val="1"/>
          <c:showCatName val="0"/>
          <c:showSerName val="0"/>
          <c:showPercent val="0"/>
          <c:showBubbleSize val="0"/>
        </c:dLbls>
        <c:gapWidth val="150"/>
        <c:overlap val="100"/>
        <c:axId val="118917760"/>
        <c:axId val="78057856"/>
      </c:barChart>
      <c:catAx>
        <c:axId val="118917760"/>
        <c:scaling>
          <c:orientation val="minMax"/>
        </c:scaling>
        <c:delete val="0"/>
        <c:axPos val="b"/>
        <c:majorTickMark val="out"/>
        <c:minorTickMark val="none"/>
        <c:tickLblPos val="nextTo"/>
        <c:crossAx val="78057856"/>
        <c:crosses val="autoZero"/>
        <c:auto val="1"/>
        <c:lblAlgn val="ctr"/>
        <c:lblOffset val="100"/>
        <c:noMultiLvlLbl val="0"/>
      </c:catAx>
      <c:valAx>
        <c:axId val="78057856"/>
        <c:scaling>
          <c:orientation val="minMax"/>
        </c:scaling>
        <c:delete val="0"/>
        <c:axPos val="l"/>
        <c:majorGridlines/>
        <c:numFmt formatCode="0%" sourceLinked="1"/>
        <c:majorTickMark val="out"/>
        <c:minorTickMark val="none"/>
        <c:tickLblPos val="nextTo"/>
        <c:crossAx val="118917760"/>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'General Charts'!$A$203</c:f>
              <c:strCache>
                <c:ptCount val="1"/>
                <c:pt idx="0">
                  <c:v>Fixed-term contracts</c:v>
                </c:pt>
              </c:strCache>
            </c:strRef>
          </c:tx>
          <c:invertIfNegative val="0"/>
          <c:dLbls>
            <c:txPr>
              <a:bodyPr/>
              <a:lstStyle/>
              <a:p>
                <a:pPr>
                  <a:defRPr>
                    <a:solidFill>
                      <a:sysClr val="windowText" lastClr="000000"/>
                    </a:solidFill>
                  </a:defRPr>
                </a:pPr>
                <a:endParaRPr lang="en-US"/>
              </a:p>
            </c:txPr>
            <c:dLblPos val="ctr"/>
            <c:showLegendKey val="0"/>
            <c:showVal val="1"/>
            <c:showCatName val="0"/>
            <c:showSerName val="0"/>
            <c:showPercent val="0"/>
            <c:showBubbleSize val="0"/>
            <c:showLeaderLines val="0"/>
          </c:dLbls>
          <c:cat>
            <c:strRef>
              <c:f>'General Charts'!$B$202:$D$202</c:f>
              <c:strCache>
                <c:ptCount val="3"/>
                <c:pt idx="0">
                  <c:v>White - British</c:v>
                </c:pt>
                <c:pt idx="1">
                  <c:v>White - Other</c:v>
                </c:pt>
                <c:pt idx="2">
                  <c:v>BME</c:v>
                </c:pt>
              </c:strCache>
            </c:strRef>
          </c:cat>
          <c:val>
            <c:numRef>
              <c:f>'General Charts'!$B$203:$D$203</c:f>
              <c:numCache>
                <c:formatCode>0.0%</c:formatCode>
                <c:ptCount val="3"/>
                <c:pt idx="0">
                  <c:v>0.15883583793037853</c:v>
                </c:pt>
                <c:pt idx="1">
                  <c:v>0.32457627118644067</c:v>
                </c:pt>
                <c:pt idx="2">
                  <c:v>0.3679745493107105</c:v>
                </c:pt>
              </c:numCache>
            </c:numRef>
          </c:val>
        </c:ser>
        <c:ser>
          <c:idx val="1"/>
          <c:order val="1"/>
          <c:tx>
            <c:strRef>
              <c:f>'General Charts'!$A$204</c:f>
              <c:strCache>
                <c:ptCount val="1"/>
                <c:pt idx="0">
                  <c:v>Part-time contracts</c:v>
                </c:pt>
              </c:strCache>
            </c:strRef>
          </c:tx>
          <c:invertIfNegative val="0"/>
          <c:dLbls>
            <c:txPr>
              <a:bodyPr/>
              <a:lstStyle/>
              <a:p>
                <a:pPr>
                  <a:defRPr>
                    <a:solidFill>
                      <a:sysClr val="windowText" lastClr="000000"/>
                    </a:solidFill>
                  </a:defRPr>
                </a:pPr>
                <a:endParaRPr lang="en-US"/>
              </a:p>
            </c:txPr>
            <c:dLblPos val="ctr"/>
            <c:showLegendKey val="0"/>
            <c:showVal val="1"/>
            <c:showCatName val="0"/>
            <c:showSerName val="0"/>
            <c:showPercent val="0"/>
            <c:showBubbleSize val="0"/>
            <c:showLeaderLines val="0"/>
          </c:dLbls>
          <c:cat>
            <c:strRef>
              <c:f>'General Charts'!$B$202:$D$202</c:f>
              <c:strCache>
                <c:ptCount val="3"/>
                <c:pt idx="0">
                  <c:v>White - British</c:v>
                </c:pt>
                <c:pt idx="1">
                  <c:v>White - Other</c:v>
                </c:pt>
                <c:pt idx="2">
                  <c:v>BME</c:v>
                </c:pt>
              </c:strCache>
            </c:strRef>
          </c:cat>
          <c:val>
            <c:numRef>
              <c:f>'General Charts'!$B$204:$D$204</c:f>
              <c:numCache>
                <c:formatCode>0.0%</c:formatCode>
                <c:ptCount val="3"/>
                <c:pt idx="0">
                  <c:v>0.22408217614609094</c:v>
                </c:pt>
                <c:pt idx="1">
                  <c:v>0.13940677966101694</c:v>
                </c:pt>
                <c:pt idx="2">
                  <c:v>0.11876988335100742</c:v>
                </c:pt>
              </c:numCache>
            </c:numRef>
          </c:val>
        </c:ser>
        <c:ser>
          <c:idx val="2"/>
          <c:order val="2"/>
          <c:tx>
            <c:strRef>
              <c:f>'General Charts'!$A$205</c:f>
              <c:strCache>
                <c:ptCount val="1"/>
                <c:pt idx="0">
                  <c:v>Established Academic</c:v>
                </c:pt>
              </c:strCache>
            </c:strRef>
          </c:tx>
          <c:invertIfNegative val="0"/>
          <c:dLbls>
            <c:txPr>
              <a:bodyPr/>
              <a:lstStyle/>
              <a:p>
                <a:pPr>
                  <a:defRPr>
                    <a:solidFill>
                      <a:sysClr val="windowText" lastClr="000000"/>
                    </a:solidFill>
                  </a:defRPr>
                </a:pPr>
                <a:endParaRPr lang="en-US"/>
              </a:p>
            </c:txPr>
            <c:dLblPos val="ctr"/>
            <c:showLegendKey val="0"/>
            <c:showVal val="1"/>
            <c:showCatName val="0"/>
            <c:showSerName val="0"/>
            <c:showPercent val="0"/>
            <c:showBubbleSize val="0"/>
            <c:showLeaderLines val="0"/>
          </c:dLbls>
          <c:cat>
            <c:strRef>
              <c:f>'General Charts'!$B$202:$D$202</c:f>
              <c:strCache>
                <c:ptCount val="3"/>
                <c:pt idx="0">
                  <c:v>White - British</c:v>
                </c:pt>
                <c:pt idx="1">
                  <c:v>White - Other</c:v>
                </c:pt>
                <c:pt idx="2">
                  <c:v>BME</c:v>
                </c:pt>
              </c:strCache>
            </c:strRef>
          </c:cat>
          <c:val>
            <c:numRef>
              <c:f>'General Charts'!$B$205:$D$205</c:f>
              <c:numCache>
                <c:formatCode>0.0%</c:formatCode>
                <c:ptCount val="3"/>
                <c:pt idx="0">
                  <c:v>0.89900000000000002</c:v>
                </c:pt>
                <c:pt idx="1">
                  <c:v>0.91841004184100417</c:v>
                </c:pt>
                <c:pt idx="2">
                  <c:v>0.90200000000000002</c:v>
                </c:pt>
              </c:numCache>
            </c:numRef>
          </c:val>
        </c:ser>
        <c:dLbls>
          <c:dLblPos val="ctr"/>
          <c:showLegendKey val="0"/>
          <c:showVal val="1"/>
          <c:showCatName val="0"/>
          <c:showSerName val="0"/>
          <c:showPercent val="0"/>
          <c:showBubbleSize val="0"/>
        </c:dLbls>
        <c:gapWidth val="150"/>
        <c:axId val="78088832"/>
        <c:axId val="78094720"/>
      </c:barChart>
      <c:catAx>
        <c:axId val="78088832"/>
        <c:scaling>
          <c:orientation val="minMax"/>
        </c:scaling>
        <c:delete val="0"/>
        <c:axPos val="b"/>
        <c:majorTickMark val="out"/>
        <c:minorTickMark val="none"/>
        <c:tickLblPos val="nextTo"/>
        <c:crossAx val="78094720"/>
        <c:crosses val="autoZero"/>
        <c:auto val="1"/>
        <c:lblAlgn val="ctr"/>
        <c:lblOffset val="100"/>
        <c:noMultiLvlLbl val="0"/>
      </c:catAx>
      <c:valAx>
        <c:axId val="78094720"/>
        <c:scaling>
          <c:orientation val="minMax"/>
        </c:scaling>
        <c:delete val="0"/>
        <c:axPos val="l"/>
        <c:majorGridlines/>
        <c:numFmt formatCode="0.0%" sourceLinked="1"/>
        <c:majorTickMark val="out"/>
        <c:minorTickMark val="none"/>
        <c:tickLblPos val="nextTo"/>
        <c:crossAx val="78088832"/>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'Current students'!$K$4</c:f>
              <c:strCache>
                <c:ptCount val="1"/>
                <c:pt idx="0">
                  <c:v>Male</c:v>
                </c:pt>
              </c:strCache>
            </c:strRef>
          </c:tx>
          <c:invertIfNegative val="0"/>
          <c:cat>
            <c:strRef>
              <c:f>'Current students'!$J$5:$J$6</c:f>
              <c:strCache>
                <c:ptCount val="2"/>
                <c:pt idx="0">
                  <c:v>Undergraduates</c:v>
                </c:pt>
                <c:pt idx="1">
                  <c:v>Postgraduates</c:v>
                </c:pt>
              </c:strCache>
            </c:strRef>
          </c:cat>
          <c:val>
            <c:numRef>
              <c:f>'Current students'!$K$5:$K$6</c:f>
              <c:numCache>
                <c:formatCode>#,##0</c:formatCode>
                <c:ptCount val="2"/>
                <c:pt idx="0">
                  <c:v>6424</c:v>
                </c:pt>
                <c:pt idx="1">
                  <c:v>4187</c:v>
                </c:pt>
              </c:numCache>
            </c:numRef>
          </c:val>
        </c:ser>
        <c:ser>
          <c:idx val="1"/>
          <c:order val="1"/>
          <c:tx>
            <c:strRef>
              <c:f>'Current students'!$L$4</c:f>
              <c:strCache>
                <c:ptCount val="1"/>
                <c:pt idx="0">
                  <c:v>Female</c:v>
                </c:pt>
              </c:strCache>
            </c:strRef>
          </c:tx>
          <c:spPr>
            <a:solidFill>
              <a:schemeClr val="accent1">
                <a:lumMod val="40000"/>
                <a:lumOff val="60000"/>
              </a:schemeClr>
            </a:solidFill>
          </c:spPr>
          <c:invertIfNegative val="0"/>
          <c:cat>
            <c:strRef>
              <c:f>'Current students'!$J$5:$J$6</c:f>
              <c:strCache>
                <c:ptCount val="2"/>
                <c:pt idx="0">
                  <c:v>Undergraduates</c:v>
                </c:pt>
                <c:pt idx="1">
                  <c:v>Postgraduates</c:v>
                </c:pt>
              </c:strCache>
            </c:strRef>
          </c:cat>
          <c:val>
            <c:numRef>
              <c:f>'Current students'!$L$5:$L$6</c:f>
              <c:numCache>
                <c:formatCode>#,##0</c:formatCode>
                <c:ptCount val="2"/>
                <c:pt idx="0">
                  <c:v>5481</c:v>
                </c:pt>
                <c:pt idx="1">
                  <c:v>3376</c:v>
                </c:pt>
              </c:numCache>
            </c:numRef>
          </c:val>
        </c:ser>
        <c:dLbls>
          <c:showLegendKey val="0"/>
          <c:showVal val="0"/>
          <c:showCatName val="0"/>
          <c:showSerName val="0"/>
          <c:showPercent val="0"/>
          <c:showBubbleSize val="0"/>
        </c:dLbls>
        <c:gapWidth val="150"/>
        <c:axId val="78117504"/>
        <c:axId val="78258560"/>
      </c:barChart>
      <c:lineChart>
        <c:grouping val="standard"/>
        <c:varyColors val="0"/>
        <c:ser>
          <c:idx val="3"/>
          <c:order val="2"/>
          <c:tx>
            <c:strRef>
              <c:f>'Current students'!$N$4</c:f>
              <c:strCache>
                <c:ptCount val="1"/>
                <c:pt idx="0">
                  <c:v>% Female</c:v>
                </c:pt>
              </c:strCache>
            </c:strRef>
          </c:tx>
          <c:spPr>
            <a:ln>
              <a:solidFill>
                <a:schemeClr val="accent2"/>
              </a:solidFill>
            </a:ln>
          </c:spPr>
          <c:marker>
            <c:symbol val="none"/>
          </c:marker>
          <c:cat>
            <c:strRef>
              <c:f>'Current students'!$J$5:$J$6</c:f>
              <c:strCache>
                <c:ptCount val="2"/>
                <c:pt idx="0">
                  <c:v>Undergraduates</c:v>
                </c:pt>
                <c:pt idx="1">
                  <c:v>Postgraduates</c:v>
                </c:pt>
              </c:strCache>
            </c:strRef>
          </c:cat>
          <c:val>
            <c:numRef>
              <c:f>'Current students'!$N$5:$N$6</c:f>
              <c:numCache>
                <c:formatCode>0.0%</c:formatCode>
                <c:ptCount val="2"/>
                <c:pt idx="0">
                  <c:v>0.4603947921041579</c:v>
                </c:pt>
                <c:pt idx="1">
                  <c:v>0.44638371016792278</c:v>
                </c:pt>
              </c:numCache>
            </c:numRef>
          </c:val>
          <c:smooth val="0"/>
        </c:ser>
        <c:dLbls>
          <c:showLegendKey val="0"/>
          <c:showVal val="0"/>
          <c:showCatName val="0"/>
          <c:showSerName val="0"/>
          <c:showPercent val="0"/>
          <c:showBubbleSize val="0"/>
        </c:dLbls>
        <c:marker val="1"/>
        <c:smooth val="0"/>
        <c:axId val="78261632"/>
        <c:axId val="78260096"/>
      </c:lineChart>
      <c:catAx>
        <c:axId val="78117504"/>
        <c:scaling>
          <c:orientation val="minMax"/>
        </c:scaling>
        <c:delete val="0"/>
        <c:axPos val="b"/>
        <c:majorTickMark val="out"/>
        <c:minorTickMark val="none"/>
        <c:tickLblPos val="nextTo"/>
        <c:crossAx val="78258560"/>
        <c:crosses val="autoZero"/>
        <c:auto val="1"/>
        <c:lblAlgn val="ctr"/>
        <c:lblOffset val="100"/>
        <c:noMultiLvlLbl val="0"/>
      </c:catAx>
      <c:valAx>
        <c:axId val="78258560"/>
        <c:scaling>
          <c:orientation val="minMax"/>
        </c:scaling>
        <c:delete val="0"/>
        <c:axPos val="l"/>
        <c:majorGridlines/>
        <c:numFmt formatCode="#,##0" sourceLinked="1"/>
        <c:majorTickMark val="out"/>
        <c:minorTickMark val="none"/>
        <c:tickLblPos val="nextTo"/>
        <c:crossAx val="78117504"/>
        <c:crosses val="autoZero"/>
        <c:crossBetween val="between"/>
      </c:valAx>
      <c:valAx>
        <c:axId val="78260096"/>
        <c:scaling>
          <c:orientation val="minMax"/>
        </c:scaling>
        <c:delete val="0"/>
        <c:axPos val="r"/>
        <c:numFmt formatCode="0.0%" sourceLinked="1"/>
        <c:majorTickMark val="out"/>
        <c:minorTickMark val="none"/>
        <c:tickLblPos val="nextTo"/>
        <c:crossAx val="78261632"/>
        <c:crosses val="max"/>
        <c:crossBetween val="between"/>
      </c:valAx>
      <c:catAx>
        <c:axId val="78261632"/>
        <c:scaling>
          <c:orientation val="minMax"/>
        </c:scaling>
        <c:delete val="1"/>
        <c:axPos val="b"/>
        <c:majorTickMark val="out"/>
        <c:minorTickMark val="none"/>
        <c:tickLblPos val="nextTo"/>
        <c:crossAx val="78260096"/>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'Current students'!$H$40</c:f>
              <c:strCache>
                <c:ptCount val="1"/>
                <c:pt idx="0">
                  <c:v>Male</c:v>
                </c:pt>
              </c:strCache>
            </c:strRef>
          </c:tx>
          <c:invertIfNegative val="0"/>
          <c:cat>
            <c:strRef>
              <c:f>'Current students'!$G$41:$G$42</c:f>
              <c:strCache>
                <c:ptCount val="2"/>
                <c:pt idx="0">
                  <c:v>STEMM</c:v>
                </c:pt>
                <c:pt idx="1">
                  <c:v>AHSS</c:v>
                </c:pt>
              </c:strCache>
            </c:strRef>
          </c:cat>
          <c:val>
            <c:numRef>
              <c:f>'Current students'!$H$41:$H$42</c:f>
              <c:numCache>
                <c:formatCode>_(* #,##0_);_(* \(#,##0\);_(* "-"_);_(@_)</c:formatCode>
                <c:ptCount val="2"/>
                <c:pt idx="0">
                  <c:v>4051</c:v>
                </c:pt>
                <c:pt idx="1">
                  <c:v>2307</c:v>
                </c:pt>
              </c:numCache>
            </c:numRef>
          </c:val>
        </c:ser>
        <c:ser>
          <c:idx val="1"/>
          <c:order val="1"/>
          <c:tx>
            <c:strRef>
              <c:f>'Current students'!$I$40</c:f>
              <c:strCache>
                <c:ptCount val="1"/>
                <c:pt idx="0">
                  <c:v>Female</c:v>
                </c:pt>
              </c:strCache>
            </c:strRef>
          </c:tx>
          <c:spPr>
            <a:solidFill>
              <a:schemeClr val="accent1">
                <a:lumMod val="40000"/>
                <a:lumOff val="60000"/>
              </a:schemeClr>
            </a:solidFill>
          </c:spPr>
          <c:invertIfNegative val="0"/>
          <c:cat>
            <c:strRef>
              <c:f>'Current students'!$G$41:$G$42</c:f>
              <c:strCache>
                <c:ptCount val="2"/>
                <c:pt idx="0">
                  <c:v>STEMM</c:v>
                </c:pt>
                <c:pt idx="1">
                  <c:v>AHSS</c:v>
                </c:pt>
              </c:strCache>
            </c:strRef>
          </c:cat>
          <c:val>
            <c:numRef>
              <c:f>'Current students'!$I$41:$I$42</c:f>
              <c:numCache>
                <c:formatCode>_(* #,##0_);_(* \(#,##0\);_(* "-"_);_(@_)</c:formatCode>
                <c:ptCount val="2"/>
                <c:pt idx="0">
                  <c:v>2240</c:v>
                </c:pt>
                <c:pt idx="1">
                  <c:v>3183</c:v>
                </c:pt>
              </c:numCache>
            </c:numRef>
          </c:val>
        </c:ser>
        <c:dLbls>
          <c:showLegendKey val="0"/>
          <c:showVal val="0"/>
          <c:showCatName val="0"/>
          <c:showSerName val="0"/>
          <c:showPercent val="0"/>
          <c:showBubbleSize val="0"/>
        </c:dLbls>
        <c:gapWidth val="150"/>
        <c:axId val="78280576"/>
        <c:axId val="78282112"/>
      </c:barChart>
      <c:lineChart>
        <c:grouping val="standard"/>
        <c:varyColors val="0"/>
        <c:ser>
          <c:idx val="3"/>
          <c:order val="2"/>
          <c:tx>
            <c:strRef>
              <c:f>'Current students'!$K$40</c:f>
              <c:strCache>
                <c:ptCount val="1"/>
                <c:pt idx="0">
                  <c:v>%F</c:v>
                </c:pt>
              </c:strCache>
            </c:strRef>
          </c:tx>
          <c:spPr>
            <a:ln>
              <a:solidFill>
                <a:schemeClr val="accent2"/>
              </a:solidFill>
            </a:ln>
          </c:spPr>
          <c:marker>
            <c:symbol val="none"/>
          </c:marker>
          <c:cat>
            <c:strRef>
              <c:f>'Current students'!$G$41:$G$42</c:f>
              <c:strCache>
                <c:ptCount val="2"/>
                <c:pt idx="0">
                  <c:v>STEMM</c:v>
                </c:pt>
                <c:pt idx="1">
                  <c:v>AHSS</c:v>
                </c:pt>
              </c:strCache>
            </c:strRef>
          </c:cat>
          <c:val>
            <c:numRef>
              <c:f>'Current students'!$K$41:$K$42</c:f>
              <c:numCache>
                <c:formatCode>0.0%</c:formatCode>
                <c:ptCount val="2"/>
                <c:pt idx="0">
                  <c:v>0.35606421872516292</c:v>
                </c:pt>
                <c:pt idx="1">
                  <c:v>0.57978142076502737</c:v>
                </c:pt>
              </c:numCache>
            </c:numRef>
          </c:val>
          <c:smooth val="0"/>
        </c:ser>
        <c:dLbls>
          <c:showLegendKey val="0"/>
          <c:showVal val="0"/>
          <c:showCatName val="0"/>
          <c:showSerName val="0"/>
          <c:showPercent val="0"/>
          <c:showBubbleSize val="0"/>
        </c:dLbls>
        <c:marker val="1"/>
        <c:smooth val="0"/>
        <c:axId val="78289536"/>
        <c:axId val="78288000"/>
      </c:lineChart>
      <c:catAx>
        <c:axId val="78280576"/>
        <c:scaling>
          <c:orientation val="minMax"/>
        </c:scaling>
        <c:delete val="0"/>
        <c:axPos val="b"/>
        <c:majorTickMark val="out"/>
        <c:minorTickMark val="none"/>
        <c:tickLblPos val="nextTo"/>
        <c:crossAx val="78282112"/>
        <c:crosses val="autoZero"/>
        <c:auto val="1"/>
        <c:lblAlgn val="ctr"/>
        <c:lblOffset val="100"/>
        <c:noMultiLvlLbl val="0"/>
      </c:catAx>
      <c:valAx>
        <c:axId val="78282112"/>
        <c:scaling>
          <c:orientation val="minMax"/>
        </c:scaling>
        <c:delete val="0"/>
        <c:axPos val="l"/>
        <c:majorGridlines/>
        <c:numFmt formatCode="_(* #,##0_);_(* \(#,##0\);_(* &quot;-&quot;_);_(@_)" sourceLinked="1"/>
        <c:majorTickMark val="out"/>
        <c:minorTickMark val="none"/>
        <c:tickLblPos val="nextTo"/>
        <c:crossAx val="78280576"/>
        <c:crosses val="autoZero"/>
        <c:crossBetween val="between"/>
      </c:valAx>
      <c:valAx>
        <c:axId val="78288000"/>
        <c:scaling>
          <c:orientation val="minMax"/>
        </c:scaling>
        <c:delete val="0"/>
        <c:axPos val="r"/>
        <c:numFmt formatCode="0.0%" sourceLinked="1"/>
        <c:majorTickMark val="out"/>
        <c:minorTickMark val="none"/>
        <c:tickLblPos val="nextTo"/>
        <c:crossAx val="78289536"/>
        <c:crosses val="max"/>
        <c:crossBetween val="between"/>
      </c:valAx>
      <c:catAx>
        <c:axId val="78289536"/>
        <c:scaling>
          <c:orientation val="minMax"/>
        </c:scaling>
        <c:delete val="1"/>
        <c:axPos val="b"/>
        <c:majorTickMark val="out"/>
        <c:minorTickMark val="none"/>
        <c:tickLblPos val="nextTo"/>
        <c:crossAx val="78288000"/>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1"/>
          <c:order val="0"/>
          <c:tx>
            <c:strRef>
              <c:f>'UG Admissions Applications'!$A$4</c:f>
              <c:strCache>
                <c:ptCount val="1"/>
                <c:pt idx="0">
                  <c:v>Male</c:v>
                </c:pt>
              </c:strCache>
            </c:strRef>
          </c:tx>
          <c:invertIfNegative val="0"/>
          <c:cat>
            <c:strRef>
              <c:f>('UG Admissions Applications'!$C$2,'UG Admissions Applications'!$E$2,'UG Admissions Applications'!$G$2)</c:f>
              <c:strCache>
                <c:ptCount val="3"/>
                <c:pt idx="0">
                  <c:v>% of total applications</c:v>
                </c:pt>
                <c:pt idx="1">
                  <c:v>% of total offers</c:v>
                </c:pt>
                <c:pt idx="2">
                  <c:v>% of total confirmations</c:v>
                </c:pt>
              </c:strCache>
            </c:strRef>
          </c:cat>
          <c:val>
            <c:numRef>
              <c:f>('UG Admissions Applications'!$C$4,'UG Admissions Applications'!$E$4,'UG Admissions Applications'!$G$4)</c:f>
              <c:numCache>
                <c:formatCode>0%</c:formatCode>
                <c:ptCount val="3"/>
                <c:pt idx="0">
                  <c:v>0.55725487654721018</c:v>
                </c:pt>
                <c:pt idx="1">
                  <c:v>0.56527479782142265</c:v>
                </c:pt>
                <c:pt idx="2">
                  <c:v>0.5714285714285714</c:v>
                </c:pt>
              </c:numCache>
            </c:numRef>
          </c:val>
        </c:ser>
        <c:ser>
          <c:idx val="3"/>
          <c:order val="1"/>
          <c:tx>
            <c:strRef>
              <c:f>'UG Admissions Applications'!$A$5</c:f>
              <c:strCache>
                <c:ptCount val="1"/>
                <c:pt idx="0">
                  <c:v>Female</c:v>
                </c:pt>
              </c:strCache>
            </c:strRef>
          </c:tx>
          <c:invertIfNegative val="0"/>
          <c:cat>
            <c:strRef>
              <c:f>('UG Admissions Applications'!$C$2,'UG Admissions Applications'!$E$2,'UG Admissions Applications'!$G$2)</c:f>
              <c:strCache>
                <c:ptCount val="3"/>
                <c:pt idx="0">
                  <c:v>% of total applications</c:v>
                </c:pt>
                <c:pt idx="1">
                  <c:v>% of total offers</c:v>
                </c:pt>
                <c:pt idx="2">
                  <c:v>% of total confirmations</c:v>
                </c:pt>
              </c:strCache>
            </c:strRef>
          </c:cat>
          <c:val>
            <c:numRef>
              <c:f>('UG Admissions Applications'!$C$5,'UG Admissions Applications'!$E$5,'UG Admissions Applications'!$G$5)</c:f>
              <c:numCache>
                <c:formatCode>0%</c:formatCode>
                <c:ptCount val="3"/>
                <c:pt idx="0">
                  <c:v>0.44274512345278982</c:v>
                </c:pt>
                <c:pt idx="1">
                  <c:v>0.4347252021785773</c:v>
                </c:pt>
                <c:pt idx="2">
                  <c:v>0.42857142857142855</c:v>
                </c:pt>
              </c:numCache>
            </c:numRef>
          </c:val>
        </c:ser>
        <c:dLbls>
          <c:dLblPos val="outEnd"/>
          <c:showLegendKey val="0"/>
          <c:showVal val="1"/>
          <c:showCatName val="0"/>
          <c:showSerName val="0"/>
          <c:showPercent val="0"/>
          <c:showBubbleSize val="0"/>
        </c:dLbls>
        <c:gapWidth val="150"/>
        <c:axId val="78315904"/>
        <c:axId val="78317440"/>
      </c:barChart>
      <c:catAx>
        <c:axId val="78315904"/>
        <c:scaling>
          <c:orientation val="minMax"/>
        </c:scaling>
        <c:delete val="0"/>
        <c:axPos val="b"/>
        <c:majorTickMark val="out"/>
        <c:minorTickMark val="none"/>
        <c:tickLblPos val="nextTo"/>
        <c:crossAx val="78317440"/>
        <c:crosses val="autoZero"/>
        <c:auto val="1"/>
        <c:lblAlgn val="ctr"/>
        <c:lblOffset val="100"/>
        <c:noMultiLvlLbl val="0"/>
      </c:catAx>
      <c:valAx>
        <c:axId val="78317440"/>
        <c:scaling>
          <c:orientation val="minMax"/>
        </c:scaling>
        <c:delete val="0"/>
        <c:axPos val="l"/>
        <c:majorGridlines/>
        <c:numFmt formatCode="0%" sourceLinked="1"/>
        <c:majorTickMark val="out"/>
        <c:minorTickMark val="none"/>
        <c:tickLblPos val="nextTo"/>
        <c:crossAx val="78315904"/>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'Acceptances 13-14'!$I$3450</c:f>
              <c:strCache>
                <c:ptCount val="1"/>
                <c:pt idx="0">
                  <c:v>Male </c:v>
                </c:pt>
              </c:strCache>
            </c:strRef>
          </c:tx>
          <c:invertIfNegative val="0"/>
          <c:dLbls>
            <c:dLbl>
              <c:idx val="0"/>
              <c:layout>
                <c:manualLayout>
                  <c:x val="2.4841628113209743E-17"/>
                  <c:y val="1.7066669533508789E-2"/>
                </c:manualLayout>
              </c:layout>
              <c:showLegendKey val="0"/>
              <c:showVal val="1"/>
              <c:showCatName val="0"/>
              <c:showSerName val="0"/>
              <c:showPercent val="0"/>
              <c:showBubbleSize val="0"/>
            </c:dLbl>
            <c:dLbl>
              <c:idx val="1"/>
              <c:layout>
                <c:manualLayout>
                  <c:x val="0"/>
                  <c:y val="2.133333691688599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'Acceptances 13-14'!$J$3449:$K$3449</c:f>
              <c:strCache>
                <c:ptCount val="2"/>
                <c:pt idx="0">
                  <c:v>Applications</c:v>
                </c:pt>
                <c:pt idx="1">
                  <c:v>Acceptances</c:v>
                </c:pt>
              </c:strCache>
            </c:strRef>
          </c:cat>
          <c:val>
            <c:numRef>
              <c:f>'Acceptances 13-14'!$J$3450:$K$3450</c:f>
              <c:numCache>
                <c:formatCode>0%</c:formatCode>
                <c:ptCount val="2"/>
                <c:pt idx="0">
                  <c:v>0.56000000000000005</c:v>
                </c:pt>
                <c:pt idx="1">
                  <c:v>0.56000000000000005</c:v>
                </c:pt>
              </c:numCache>
            </c:numRef>
          </c:val>
        </c:ser>
        <c:ser>
          <c:idx val="1"/>
          <c:order val="1"/>
          <c:tx>
            <c:strRef>
              <c:f>'Acceptances 13-14'!$I$3451</c:f>
              <c:strCache>
                <c:ptCount val="1"/>
                <c:pt idx="0">
                  <c:v>Female</c:v>
                </c:pt>
              </c:strCache>
            </c:strRef>
          </c:tx>
          <c:spPr>
            <a:pattFill prst="dkUpDiag">
              <a:fgClr>
                <a:schemeClr val="accent1"/>
              </a:fgClr>
              <a:bgClr>
                <a:schemeClr val="bg1"/>
              </a:bgClr>
            </a:pattFill>
          </c:spPr>
          <c:invertIfNegative val="0"/>
          <c:dLbls>
            <c:showLegendKey val="0"/>
            <c:showVal val="1"/>
            <c:showCatName val="0"/>
            <c:showSerName val="0"/>
            <c:showPercent val="0"/>
            <c:showBubbleSize val="0"/>
            <c:showLeaderLines val="0"/>
          </c:dLbls>
          <c:cat>
            <c:strRef>
              <c:f>'Acceptances 13-14'!$J$3449:$K$3449</c:f>
              <c:strCache>
                <c:ptCount val="2"/>
                <c:pt idx="0">
                  <c:v>Applications</c:v>
                </c:pt>
                <c:pt idx="1">
                  <c:v>Acceptances</c:v>
                </c:pt>
              </c:strCache>
            </c:strRef>
          </c:cat>
          <c:val>
            <c:numRef>
              <c:f>'Acceptances 13-14'!$J$3451:$K$3451</c:f>
              <c:numCache>
                <c:formatCode>0%</c:formatCode>
                <c:ptCount val="2"/>
                <c:pt idx="0">
                  <c:v>0.44</c:v>
                </c:pt>
                <c:pt idx="1">
                  <c:v>0.44</c:v>
                </c:pt>
              </c:numCache>
            </c:numRef>
          </c:val>
        </c:ser>
        <c:dLbls>
          <c:showLegendKey val="0"/>
          <c:showVal val="0"/>
          <c:showCatName val="0"/>
          <c:showSerName val="0"/>
          <c:showPercent val="0"/>
          <c:showBubbleSize val="0"/>
        </c:dLbls>
        <c:gapWidth val="150"/>
        <c:axId val="78339456"/>
        <c:axId val="78341248"/>
      </c:barChart>
      <c:catAx>
        <c:axId val="78339456"/>
        <c:scaling>
          <c:orientation val="minMax"/>
        </c:scaling>
        <c:delete val="0"/>
        <c:axPos val="b"/>
        <c:majorTickMark val="out"/>
        <c:minorTickMark val="none"/>
        <c:tickLblPos val="nextTo"/>
        <c:crossAx val="78341248"/>
        <c:crosses val="autoZero"/>
        <c:auto val="1"/>
        <c:lblAlgn val="ctr"/>
        <c:lblOffset val="100"/>
        <c:noMultiLvlLbl val="0"/>
      </c:catAx>
      <c:valAx>
        <c:axId val="78341248"/>
        <c:scaling>
          <c:orientation val="minMax"/>
        </c:scaling>
        <c:delete val="0"/>
        <c:axPos val="l"/>
        <c:majorGridlines/>
        <c:numFmt formatCode="0%" sourceLinked="1"/>
        <c:majorTickMark val="out"/>
        <c:minorTickMark val="none"/>
        <c:tickLblPos val="nextTo"/>
        <c:crossAx val="7833945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'Current students'!$L$110</c:f>
              <c:strCache>
                <c:ptCount val="1"/>
                <c:pt idx="0">
                  <c:v>White</c:v>
                </c:pt>
              </c:strCache>
            </c:strRef>
          </c:tx>
          <c:invertIfNegative val="0"/>
          <c:cat>
            <c:strRef>
              <c:f>'Current students'!$M$109:$N$109</c:f>
              <c:strCache>
                <c:ptCount val="2"/>
                <c:pt idx="0">
                  <c:v>Undergraduates</c:v>
                </c:pt>
                <c:pt idx="1">
                  <c:v>Postgraduates</c:v>
                </c:pt>
              </c:strCache>
            </c:strRef>
          </c:cat>
          <c:val>
            <c:numRef>
              <c:f>'Current students'!$M$110:$N$110</c:f>
              <c:numCache>
                <c:formatCode>#,##0</c:formatCode>
                <c:ptCount val="2"/>
                <c:pt idx="0">
                  <c:v>8922</c:v>
                </c:pt>
                <c:pt idx="1">
                  <c:v>4193</c:v>
                </c:pt>
              </c:numCache>
            </c:numRef>
          </c:val>
        </c:ser>
        <c:ser>
          <c:idx val="1"/>
          <c:order val="1"/>
          <c:tx>
            <c:strRef>
              <c:f>'Current students'!$L$111</c:f>
              <c:strCache>
                <c:ptCount val="1"/>
                <c:pt idx="0">
                  <c:v>BME</c:v>
                </c:pt>
              </c:strCache>
            </c:strRef>
          </c:tx>
          <c:spPr>
            <a:solidFill>
              <a:schemeClr val="accent1">
                <a:lumMod val="40000"/>
                <a:lumOff val="60000"/>
              </a:schemeClr>
            </a:solidFill>
          </c:spPr>
          <c:invertIfNegative val="0"/>
          <c:cat>
            <c:strRef>
              <c:f>'Current students'!$M$109:$N$109</c:f>
              <c:strCache>
                <c:ptCount val="2"/>
                <c:pt idx="0">
                  <c:v>Undergraduates</c:v>
                </c:pt>
                <c:pt idx="1">
                  <c:v>Postgraduates</c:v>
                </c:pt>
              </c:strCache>
            </c:strRef>
          </c:cat>
          <c:val>
            <c:numRef>
              <c:f>'Current students'!$M$111:$N$111</c:f>
              <c:numCache>
                <c:formatCode>#,##0</c:formatCode>
                <c:ptCount val="2"/>
                <c:pt idx="0">
                  <c:v>2689</c:v>
                </c:pt>
                <c:pt idx="1">
                  <c:v>2068</c:v>
                </c:pt>
              </c:numCache>
            </c:numRef>
          </c:val>
        </c:ser>
        <c:dLbls>
          <c:showLegendKey val="0"/>
          <c:showVal val="0"/>
          <c:showCatName val="0"/>
          <c:showSerName val="0"/>
          <c:showPercent val="0"/>
          <c:showBubbleSize val="0"/>
        </c:dLbls>
        <c:gapWidth val="150"/>
        <c:axId val="78363648"/>
        <c:axId val="78377728"/>
      </c:barChart>
      <c:lineChart>
        <c:grouping val="standard"/>
        <c:varyColors val="0"/>
        <c:ser>
          <c:idx val="3"/>
          <c:order val="2"/>
          <c:tx>
            <c:strRef>
              <c:f>'Current students'!$L$113</c:f>
              <c:strCache>
                <c:ptCount val="1"/>
                <c:pt idx="0">
                  <c:v>%BME</c:v>
                </c:pt>
              </c:strCache>
            </c:strRef>
          </c:tx>
          <c:spPr>
            <a:ln>
              <a:solidFill>
                <a:schemeClr val="accent2"/>
              </a:solidFill>
            </a:ln>
          </c:spPr>
          <c:marker>
            <c:symbol val="none"/>
          </c:marker>
          <c:cat>
            <c:strRef>
              <c:f>'Current students'!$M$109:$N$109</c:f>
              <c:strCache>
                <c:ptCount val="2"/>
                <c:pt idx="0">
                  <c:v>Undergraduates</c:v>
                </c:pt>
                <c:pt idx="1">
                  <c:v>Postgraduates</c:v>
                </c:pt>
              </c:strCache>
            </c:strRef>
          </c:cat>
          <c:val>
            <c:numRef>
              <c:f>'Current students'!$M$113:$N$113</c:f>
              <c:numCache>
                <c:formatCode>0.0%</c:formatCode>
                <c:ptCount val="2"/>
                <c:pt idx="0">
                  <c:v>0.23159073292567392</c:v>
                </c:pt>
                <c:pt idx="1">
                  <c:v>0.33029867433317361</c:v>
                </c:pt>
              </c:numCache>
            </c:numRef>
          </c:val>
          <c:smooth val="0"/>
        </c:ser>
        <c:dLbls>
          <c:showLegendKey val="0"/>
          <c:showVal val="0"/>
          <c:showCatName val="0"/>
          <c:showSerName val="0"/>
          <c:showPercent val="0"/>
          <c:showBubbleSize val="0"/>
        </c:dLbls>
        <c:marker val="1"/>
        <c:smooth val="0"/>
        <c:axId val="111083520"/>
        <c:axId val="78379264"/>
      </c:lineChart>
      <c:catAx>
        <c:axId val="78363648"/>
        <c:scaling>
          <c:orientation val="minMax"/>
        </c:scaling>
        <c:delete val="0"/>
        <c:axPos val="b"/>
        <c:majorTickMark val="out"/>
        <c:minorTickMark val="none"/>
        <c:tickLblPos val="nextTo"/>
        <c:crossAx val="78377728"/>
        <c:crosses val="autoZero"/>
        <c:auto val="1"/>
        <c:lblAlgn val="ctr"/>
        <c:lblOffset val="100"/>
        <c:noMultiLvlLbl val="0"/>
      </c:catAx>
      <c:valAx>
        <c:axId val="78377728"/>
        <c:scaling>
          <c:orientation val="minMax"/>
        </c:scaling>
        <c:delete val="0"/>
        <c:axPos val="l"/>
        <c:majorGridlines/>
        <c:numFmt formatCode="#,##0" sourceLinked="1"/>
        <c:majorTickMark val="out"/>
        <c:minorTickMark val="none"/>
        <c:tickLblPos val="nextTo"/>
        <c:crossAx val="78363648"/>
        <c:crosses val="autoZero"/>
        <c:crossBetween val="between"/>
      </c:valAx>
      <c:valAx>
        <c:axId val="78379264"/>
        <c:scaling>
          <c:orientation val="minMax"/>
        </c:scaling>
        <c:delete val="0"/>
        <c:axPos val="r"/>
        <c:numFmt formatCode="0.0%" sourceLinked="1"/>
        <c:majorTickMark val="out"/>
        <c:minorTickMark val="none"/>
        <c:tickLblPos val="nextTo"/>
        <c:crossAx val="111083520"/>
        <c:crosses val="max"/>
        <c:crossBetween val="between"/>
      </c:valAx>
      <c:catAx>
        <c:axId val="111083520"/>
        <c:scaling>
          <c:orientation val="minMax"/>
        </c:scaling>
        <c:delete val="1"/>
        <c:axPos val="b"/>
        <c:majorTickMark val="out"/>
        <c:minorTickMark val="none"/>
        <c:tickLblPos val="nextTo"/>
        <c:crossAx val="78379264"/>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'Current students'!$L$143</c:f>
              <c:strCache>
                <c:ptCount val="1"/>
                <c:pt idx="0">
                  <c:v>Total</c:v>
                </c:pt>
              </c:strCache>
            </c:strRef>
          </c:tx>
          <c:invertIfNegative val="0"/>
          <c:cat>
            <c:strRef>
              <c:f>'Current students'!$M$140:$N$140</c:f>
              <c:strCache>
                <c:ptCount val="2"/>
                <c:pt idx="0">
                  <c:v>Undergraduates</c:v>
                </c:pt>
                <c:pt idx="1">
                  <c:v>Postgraduates</c:v>
                </c:pt>
              </c:strCache>
            </c:strRef>
          </c:cat>
          <c:val>
            <c:numRef>
              <c:f>'Current students'!$M$143:$N$143</c:f>
              <c:numCache>
                <c:formatCode>#,##0</c:formatCode>
                <c:ptCount val="2"/>
                <c:pt idx="0">
                  <c:v>11841</c:v>
                </c:pt>
                <c:pt idx="1">
                  <c:v>6499</c:v>
                </c:pt>
              </c:numCache>
            </c:numRef>
          </c:val>
        </c:ser>
        <c:dLbls>
          <c:showLegendKey val="0"/>
          <c:showVal val="0"/>
          <c:showCatName val="0"/>
          <c:showSerName val="0"/>
          <c:showPercent val="0"/>
          <c:showBubbleSize val="0"/>
        </c:dLbls>
        <c:gapWidth val="150"/>
        <c:axId val="111105536"/>
        <c:axId val="111107072"/>
      </c:barChart>
      <c:lineChart>
        <c:grouping val="standard"/>
        <c:varyColors val="0"/>
        <c:ser>
          <c:idx val="3"/>
          <c:order val="1"/>
          <c:tx>
            <c:strRef>
              <c:f>'Current students'!$L$144</c:f>
              <c:strCache>
                <c:ptCount val="1"/>
                <c:pt idx="0">
                  <c:v>% Declared disability</c:v>
                </c:pt>
              </c:strCache>
            </c:strRef>
          </c:tx>
          <c:spPr>
            <a:ln>
              <a:solidFill>
                <a:schemeClr val="accent2"/>
              </a:solidFill>
            </a:ln>
          </c:spPr>
          <c:marker>
            <c:symbol val="none"/>
          </c:marker>
          <c:cat>
            <c:strRef>
              <c:f>'Current students'!$M$140:$N$140</c:f>
              <c:strCache>
                <c:ptCount val="2"/>
                <c:pt idx="0">
                  <c:v>Undergraduates</c:v>
                </c:pt>
                <c:pt idx="1">
                  <c:v>Postgraduates</c:v>
                </c:pt>
              </c:strCache>
            </c:strRef>
          </c:cat>
          <c:val>
            <c:numRef>
              <c:f>'Current students'!$M$144:$N$144</c:f>
              <c:numCache>
                <c:formatCode>0.0%</c:formatCode>
                <c:ptCount val="2"/>
                <c:pt idx="0">
                  <c:v>8.1074233595135548E-2</c:v>
                </c:pt>
                <c:pt idx="1">
                  <c:v>6.0470841667948916E-2</c:v>
                </c:pt>
              </c:numCache>
            </c:numRef>
          </c:val>
          <c:smooth val="0"/>
        </c:ser>
        <c:dLbls>
          <c:showLegendKey val="0"/>
          <c:showVal val="0"/>
          <c:showCatName val="0"/>
          <c:showSerName val="0"/>
          <c:showPercent val="0"/>
          <c:showBubbleSize val="0"/>
        </c:dLbls>
        <c:marker val="1"/>
        <c:smooth val="0"/>
        <c:axId val="111114496"/>
        <c:axId val="111112960"/>
      </c:lineChart>
      <c:catAx>
        <c:axId val="111105536"/>
        <c:scaling>
          <c:orientation val="minMax"/>
        </c:scaling>
        <c:delete val="0"/>
        <c:axPos val="b"/>
        <c:majorTickMark val="out"/>
        <c:minorTickMark val="none"/>
        <c:tickLblPos val="nextTo"/>
        <c:crossAx val="111107072"/>
        <c:crosses val="autoZero"/>
        <c:auto val="1"/>
        <c:lblAlgn val="ctr"/>
        <c:lblOffset val="100"/>
        <c:noMultiLvlLbl val="0"/>
      </c:catAx>
      <c:valAx>
        <c:axId val="111107072"/>
        <c:scaling>
          <c:orientation val="minMax"/>
          <c:min val="0"/>
        </c:scaling>
        <c:delete val="0"/>
        <c:axPos val="l"/>
        <c:majorGridlines/>
        <c:numFmt formatCode="#,##0" sourceLinked="1"/>
        <c:majorTickMark val="out"/>
        <c:minorTickMark val="none"/>
        <c:tickLblPos val="nextTo"/>
        <c:crossAx val="111105536"/>
        <c:crosses val="autoZero"/>
        <c:crossBetween val="between"/>
      </c:valAx>
      <c:valAx>
        <c:axId val="111112960"/>
        <c:scaling>
          <c:orientation val="minMax"/>
          <c:max val="9.0000000000000024E-2"/>
          <c:min val="3.0000000000000006E-2"/>
        </c:scaling>
        <c:delete val="0"/>
        <c:axPos val="r"/>
        <c:numFmt formatCode="0.0%" sourceLinked="1"/>
        <c:majorTickMark val="out"/>
        <c:minorTickMark val="none"/>
        <c:tickLblPos val="nextTo"/>
        <c:crossAx val="111114496"/>
        <c:crosses val="max"/>
        <c:crossBetween val="between"/>
      </c:valAx>
      <c:catAx>
        <c:axId val="111114496"/>
        <c:scaling>
          <c:orientation val="minMax"/>
        </c:scaling>
        <c:delete val="1"/>
        <c:axPos val="b"/>
        <c:majorTickMark val="out"/>
        <c:minorTickMark val="none"/>
        <c:tickLblPos val="nextTo"/>
        <c:crossAx val="111112960"/>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3E88A-14AE-408C-9701-D86A91C36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9B3B43C0</Template>
  <TotalTime>1</TotalTime>
  <Pages>32</Pages>
  <Words>7716</Words>
  <Characters>43985</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MISD, University of Cambridge</Company>
  <LinksUpToDate>false</LinksUpToDate>
  <CharactersWithSpaces>51598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 Warren</dc:creator>
  <cp:lastModifiedBy>Diane Jeffery</cp:lastModifiedBy>
  <cp:revision>2</cp:revision>
  <cp:lastPrinted>2015-01-12T15:57:00Z</cp:lastPrinted>
  <dcterms:created xsi:type="dcterms:W3CDTF">2015-01-28T15:13:00Z</dcterms:created>
  <dcterms:modified xsi:type="dcterms:W3CDTF">2015-01-28T15:13:00Z</dcterms:modified>
</cp:coreProperties>
</file>